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2016年</w:t>
      </w:r>
      <w:r>
        <w:rPr>
          <w:rFonts w:hint="eastAsia" w:ascii="宋体" w:hAnsi="宋体" w:eastAsia="宋体" w:cs="宋体"/>
          <w:b/>
          <w:bCs/>
          <w:sz w:val="44"/>
          <w:szCs w:val="44"/>
          <w:lang w:eastAsia="zh-CN"/>
        </w:rPr>
        <w:t>政府性债务举借情况</w:t>
      </w:r>
      <w:bookmarkStart w:id="0" w:name="_GoBack"/>
      <w:bookmarkEnd w:id="0"/>
      <w:r>
        <w:rPr>
          <w:rFonts w:hint="eastAsia" w:ascii="宋体" w:hAnsi="宋体" w:eastAsia="宋体" w:cs="宋体"/>
          <w:b/>
          <w:bCs/>
          <w:sz w:val="44"/>
          <w:szCs w:val="44"/>
          <w:lang w:eastAsia="zh-CN"/>
        </w:rPr>
        <w:t>的说明</w:t>
      </w:r>
    </w:p>
    <w:p>
      <w:pPr>
        <w:jc w:val="center"/>
        <w:rPr>
          <w:rFonts w:hint="eastAsia"/>
          <w:lang w:eastAsia="zh-CN"/>
        </w:rPr>
      </w:pPr>
    </w:p>
    <w:p>
      <w:pPr>
        <w:ind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按照</w:t>
      </w:r>
      <w:r>
        <w:rPr>
          <w:rFonts w:hint="eastAsia" w:ascii="宋体" w:hAnsi="宋体" w:eastAsia="宋体" w:cs="宋体"/>
          <w:sz w:val="32"/>
          <w:szCs w:val="32"/>
          <w:lang w:val="en-US" w:eastAsia="zh-CN"/>
        </w:rPr>
        <w:t>2014年8月全国人大常委会通过的《中华人民共和国预算法》规定“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w:t>
      </w:r>
      <w:r>
        <w:rPr>
          <w:rFonts w:hint="eastAsia" w:ascii="宋体" w:hAnsi="宋体" w:eastAsia="宋体" w:cs="宋体"/>
          <w:b w:val="0"/>
          <w:i w:val="0"/>
          <w:caps w:val="0"/>
          <w:color w:val="000000"/>
          <w:spacing w:val="0"/>
          <w:sz w:val="32"/>
          <w:szCs w:val="32"/>
          <w:shd w:val="clear" w:fill="FFFFFF"/>
        </w:rPr>
        <w:t>除前款规定外，地方政府及其所属部门不得以任何方式举借债务。</w:t>
      </w:r>
      <w:r>
        <w:rPr>
          <w:rFonts w:hint="eastAsia" w:ascii="宋体" w:hAnsi="宋体" w:eastAsia="宋体" w:cs="宋体"/>
          <w:sz w:val="32"/>
          <w:szCs w:val="32"/>
          <w:lang w:val="en-US" w:eastAsia="zh-CN"/>
        </w:rPr>
        <w:t>”</w:t>
      </w:r>
    </w:p>
    <w:p>
      <w:pPr>
        <w:ind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2016年，我市政府性债务没有突破债务限额。在限额内，新增政府债券32265万元；发行置换债券5161万元，其中定向承销置换债券2022万元，公开发行置换债券3139万元。2016年通过发行债券方式共举债37426万元，均为一般债券。</w:t>
      </w:r>
    </w:p>
    <w:p>
      <w:pPr>
        <w:ind w:firstLine="42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ind w:firstLine="420"/>
        <w:jc w:val="left"/>
        <w:rPr>
          <w:rFonts w:hint="eastAsia" w:asciiTheme="minorEastAsia" w:hAnsiTheme="minorEastAsia" w:cstheme="minorEastAsia"/>
          <w:sz w:val="32"/>
          <w:szCs w:val="32"/>
          <w:lang w:val="en-US" w:eastAsia="zh-CN"/>
        </w:rPr>
      </w:pPr>
    </w:p>
    <w:p>
      <w:pPr>
        <w:ind w:firstLine="420"/>
        <w:jc w:val="lef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606AC"/>
    <w:rsid w:val="0EDF0C70"/>
    <w:rsid w:val="15F93395"/>
    <w:rsid w:val="1F4D50D3"/>
    <w:rsid w:val="2E9F0B46"/>
    <w:rsid w:val="4DA81C36"/>
    <w:rsid w:val="50D425E4"/>
    <w:rsid w:val="57E02F1F"/>
    <w:rsid w:val="599A1AC8"/>
    <w:rsid w:val="63271777"/>
    <w:rsid w:val="7A594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2017-09-13T05:22:57Z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