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center"/>
        <w:rPr>
          <w:rFonts w:ascii="仿宋" w:hAnsi="仿宋" w:eastAsia="仿宋" w:cs="仿宋"/>
          <w:sz w:val="30"/>
          <w:szCs w:val="30"/>
        </w:rPr>
      </w:pPr>
      <w:r>
        <w:rPr>
          <w:rFonts w:hint="eastAsia" w:asciiTheme="majorEastAsia" w:hAnsiTheme="majorEastAsia" w:eastAsiaTheme="majorEastAsia" w:cstheme="majorEastAsia"/>
        </w:rPr>
        <w:t xml:space="preserve">  2023年财政资金绩效考核服务中心预算绩效管理工作安排</w:t>
      </w:r>
    </w:p>
    <w:p>
      <w:pPr>
        <w:rPr>
          <w:rFonts w:ascii="仿宋" w:hAnsi="仿宋" w:eastAsia="仿宋" w:cs="仿宋"/>
          <w:sz w:val="32"/>
          <w:szCs w:val="32"/>
        </w:rPr>
      </w:pPr>
      <w:r>
        <w:rPr>
          <w:rFonts w:hint="eastAsia" w:ascii="仿宋" w:hAnsi="仿宋" w:eastAsia="仿宋" w:cs="仿宋"/>
          <w:sz w:val="32"/>
          <w:szCs w:val="32"/>
        </w:rPr>
        <w:t xml:space="preserve">     为了全面贯彻落实党的二十大和第十四届全国人大会精神，围绕省绩效处的决策部署，以绩效考核为主线，突出重点环节结果应用，加大重点领域绩效管理力度，开展重大财税政策项目预算绩效监控管理，全面推动我市预算绩效管理提质增效，按照省财政厅印发的《吉林省财政厅绩效评价处2023年工作要点的通知》吉财绩[2023]362号文件要求，结合我市实际情况，制定我市2023年预算绩效管理工作如下：</w:t>
      </w:r>
    </w:p>
    <w:p>
      <w:pPr>
        <w:pStyle w:val="9"/>
        <w:numPr>
          <w:ilvl w:val="0"/>
          <w:numId w:val="1"/>
        </w:numPr>
        <w:ind w:firstLineChars="0"/>
        <w:rPr>
          <w:rFonts w:ascii="仿宋" w:hAnsi="仿宋" w:eastAsia="仿宋" w:cs="仿宋"/>
          <w:b/>
          <w:sz w:val="32"/>
          <w:szCs w:val="32"/>
        </w:rPr>
      </w:pPr>
      <w:r>
        <w:rPr>
          <w:rFonts w:hint="eastAsia" w:ascii="仿宋" w:hAnsi="仿宋" w:eastAsia="仿宋" w:cs="仿宋"/>
          <w:b/>
          <w:sz w:val="32"/>
          <w:szCs w:val="32"/>
        </w:rPr>
        <w:t>统筹安排2023年绩效目标管理工作</w:t>
      </w:r>
    </w:p>
    <w:p>
      <w:pPr>
        <w:rPr>
          <w:rFonts w:ascii="仿宋" w:hAnsi="仿宋" w:eastAsia="仿宋" w:cs="仿宋"/>
          <w:sz w:val="32"/>
          <w:szCs w:val="32"/>
        </w:rPr>
      </w:pPr>
      <w:r>
        <w:rPr>
          <w:rFonts w:hint="eastAsia" w:ascii="仿宋" w:hAnsi="仿宋" w:eastAsia="仿宋" w:cs="仿宋"/>
          <w:sz w:val="32"/>
          <w:szCs w:val="32"/>
        </w:rPr>
        <w:t xml:space="preserve">   1.以绩效考核为导向，深挖考核重点，明确工作重点。细化绩效管理制度细则。</w:t>
      </w:r>
    </w:p>
    <w:p>
      <w:pPr>
        <w:ind w:firstLine="480" w:firstLineChars="150"/>
        <w:rPr>
          <w:rFonts w:ascii="仿宋" w:hAnsi="仿宋" w:eastAsia="仿宋" w:cs="仿宋"/>
          <w:sz w:val="32"/>
          <w:szCs w:val="32"/>
        </w:rPr>
      </w:pPr>
      <w:r>
        <w:rPr>
          <w:rFonts w:hint="eastAsia" w:ascii="仿宋" w:hAnsi="仿宋" w:eastAsia="仿宋" w:cs="仿宋"/>
          <w:sz w:val="32"/>
          <w:szCs w:val="32"/>
        </w:rPr>
        <w:t>2.加快推进绩效目标编制管理工作。结合强化财政项目库管理工作，将绩效目标纳入预算编制和项目申报过程，实施绩效目标管理，范围覆盖全部预算部门。通过专项指标评价体系的设立，提高财政资金使用透明度，优化财政资金使用效率，为领导科学决策和有效监督提供重要的参考依据。</w:t>
      </w:r>
    </w:p>
    <w:p>
      <w:pPr>
        <w:rPr>
          <w:rFonts w:ascii="仿宋" w:hAnsi="仿宋" w:eastAsia="仿宋" w:cs="仿宋"/>
          <w:b/>
          <w:sz w:val="32"/>
          <w:szCs w:val="32"/>
        </w:rPr>
      </w:pPr>
      <w:r>
        <w:rPr>
          <w:rFonts w:hint="eastAsia" w:ascii="仿宋" w:hAnsi="仿宋" w:eastAsia="仿宋" w:cs="仿宋"/>
          <w:sz w:val="32"/>
          <w:szCs w:val="32"/>
        </w:rPr>
        <w:t xml:space="preserve">   </w:t>
      </w:r>
      <w:r>
        <w:rPr>
          <w:rFonts w:hint="eastAsia" w:ascii="仿宋" w:hAnsi="仿宋" w:eastAsia="仿宋" w:cs="仿宋"/>
          <w:b/>
          <w:sz w:val="32"/>
          <w:szCs w:val="32"/>
        </w:rPr>
        <w:t xml:space="preserve"> 二、开展好2023年度预算绩效运行管理、跟踪监控</w:t>
      </w:r>
    </w:p>
    <w:p>
      <w:pPr>
        <w:rPr>
          <w:rFonts w:ascii="仿宋" w:hAnsi="仿宋" w:eastAsia="仿宋" w:cs="仿宋"/>
          <w:sz w:val="32"/>
          <w:szCs w:val="32"/>
        </w:rPr>
      </w:pPr>
      <w:r>
        <w:rPr>
          <w:rFonts w:hint="eastAsia" w:ascii="仿宋" w:hAnsi="仿宋" w:eastAsia="仿宋" w:cs="仿宋"/>
          <w:sz w:val="32"/>
          <w:szCs w:val="32"/>
        </w:rPr>
        <w:t xml:space="preserve">   1.指导各预算部门（单位）按照预算绩效运行监控管理办法填报绩效运行监控表，对申报项目进行运行监控管理。在预算一体化系统下，根据各预算部门（单位）设置的绩效目标，对所有项目实施监控。</w:t>
      </w:r>
    </w:p>
    <w:p>
      <w:pPr>
        <w:rPr>
          <w:rFonts w:ascii="仿宋" w:hAnsi="仿宋" w:eastAsia="仿宋" w:cs="仿宋"/>
          <w:sz w:val="32"/>
          <w:szCs w:val="32"/>
        </w:rPr>
      </w:pPr>
      <w:r>
        <w:rPr>
          <w:rFonts w:hint="eastAsia" w:ascii="仿宋" w:hAnsi="仿宋" w:eastAsia="仿宋" w:cs="仿宋"/>
          <w:sz w:val="32"/>
          <w:szCs w:val="32"/>
        </w:rPr>
        <w:t xml:space="preserve">   2.对2022年重点项目及2023年500万元以上项目进行事前评估、事中监控、事后评价。通过建立事中绩效运行跟踪监控机制，进一步增强支出责任和效率意识，积极构建贯穿预算编制、执行、监控全过程的预算绩效管理体系。</w:t>
      </w:r>
    </w:p>
    <w:p>
      <w:pPr>
        <w:rPr>
          <w:rFonts w:ascii="仿宋" w:hAnsi="仿宋" w:eastAsia="仿宋" w:cs="仿宋"/>
          <w:b/>
          <w:sz w:val="32"/>
          <w:szCs w:val="32"/>
        </w:rPr>
      </w:pPr>
      <w:r>
        <w:rPr>
          <w:rFonts w:hint="eastAsia" w:ascii="仿宋" w:hAnsi="仿宋" w:eastAsia="仿宋" w:cs="仿宋"/>
          <w:sz w:val="32"/>
          <w:szCs w:val="32"/>
        </w:rPr>
        <w:t xml:space="preserve">   </w:t>
      </w:r>
      <w:r>
        <w:rPr>
          <w:rFonts w:hint="eastAsia" w:ascii="仿宋" w:hAnsi="仿宋" w:eastAsia="仿宋" w:cs="仿宋"/>
          <w:b/>
          <w:sz w:val="32"/>
          <w:szCs w:val="32"/>
        </w:rPr>
        <w:t>三、组织实施重点项目的预算绩效审核、评价工作</w:t>
      </w:r>
    </w:p>
    <w:p>
      <w:pPr>
        <w:rPr>
          <w:rFonts w:ascii="仿宋" w:hAnsi="仿宋" w:eastAsia="仿宋" w:cs="仿宋"/>
          <w:sz w:val="32"/>
          <w:szCs w:val="32"/>
        </w:rPr>
      </w:pPr>
      <w:r>
        <w:rPr>
          <w:rFonts w:hint="eastAsia" w:ascii="仿宋" w:hAnsi="仿宋" w:eastAsia="仿宋" w:cs="仿宋"/>
          <w:sz w:val="32"/>
          <w:szCs w:val="32"/>
        </w:rPr>
        <w:t xml:space="preserve">   指导规范各预算部门、本部门或委托第三方机构进行项目绩效评价工作。</w:t>
      </w:r>
    </w:p>
    <w:p>
      <w:pPr>
        <w:rPr>
          <w:rFonts w:ascii="仿宋" w:hAnsi="仿宋" w:eastAsia="仿宋" w:cs="仿宋"/>
          <w:sz w:val="32"/>
          <w:szCs w:val="32"/>
        </w:rPr>
      </w:pPr>
      <w:r>
        <w:rPr>
          <w:rFonts w:hint="eastAsia" w:ascii="仿宋" w:hAnsi="仿宋" w:eastAsia="仿宋" w:cs="仿宋"/>
          <w:sz w:val="32"/>
          <w:szCs w:val="32"/>
        </w:rPr>
        <w:t xml:space="preserve">   1.加大项目库审核力度，对所有填报拟入库项目，全部填报绩效目标。</w:t>
      </w:r>
    </w:p>
    <w:p>
      <w:pPr>
        <w:rPr>
          <w:rFonts w:ascii="仿宋" w:hAnsi="仿宋" w:eastAsia="仿宋" w:cs="仿宋"/>
          <w:sz w:val="32"/>
          <w:szCs w:val="32"/>
        </w:rPr>
      </w:pPr>
      <w:r>
        <w:rPr>
          <w:rFonts w:hint="eastAsia" w:ascii="仿宋" w:hAnsi="仿宋" w:eastAsia="仿宋" w:cs="仿宋"/>
          <w:sz w:val="32"/>
          <w:szCs w:val="32"/>
        </w:rPr>
        <w:t xml:space="preserve">   2.确定重点项目评价，从2022年已设置的绩效目标中选取3至5个涉及民生、社会公众普遍关心、具有较大经济社会影响的项目开展重点评价。</w:t>
      </w:r>
    </w:p>
    <w:p>
      <w:pPr>
        <w:rPr>
          <w:rFonts w:ascii="仿宋" w:hAnsi="仿宋" w:eastAsia="仿宋" w:cs="仿宋"/>
          <w:sz w:val="32"/>
          <w:szCs w:val="32"/>
        </w:rPr>
      </w:pPr>
      <w:r>
        <w:rPr>
          <w:rFonts w:hint="eastAsia" w:ascii="仿宋" w:hAnsi="仿宋" w:eastAsia="仿宋" w:cs="仿宋"/>
          <w:sz w:val="32"/>
          <w:szCs w:val="32"/>
        </w:rPr>
        <w:t xml:space="preserve">   3.科学设立绩效评价指标，组织由财政部门、项目部门和有关专家对重点评价项目进行绩效评价指标设立，并制定实施方案。</w:t>
      </w:r>
    </w:p>
    <w:p>
      <w:pPr>
        <w:rPr>
          <w:rFonts w:ascii="仿宋" w:hAnsi="仿宋" w:eastAsia="仿宋" w:cs="仿宋"/>
          <w:sz w:val="32"/>
          <w:szCs w:val="32"/>
        </w:rPr>
      </w:pPr>
      <w:r>
        <w:rPr>
          <w:rFonts w:hint="eastAsia" w:ascii="仿宋" w:hAnsi="仿宋" w:eastAsia="仿宋" w:cs="仿宋"/>
          <w:sz w:val="32"/>
          <w:szCs w:val="32"/>
        </w:rPr>
        <w:t xml:space="preserve">   4.重点开展评价工作。按照绩效评价工作实施步骤，采取项目部门自评——财政部门审核——专业中介机构量化评价的方式开展重点项目评价。</w:t>
      </w:r>
    </w:p>
    <w:p>
      <w:pPr>
        <w:rPr>
          <w:rFonts w:ascii="仿宋" w:hAnsi="仿宋" w:eastAsia="仿宋" w:cs="仿宋"/>
          <w:sz w:val="32"/>
          <w:szCs w:val="32"/>
        </w:rPr>
      </w:pPr>
      <w:r>
        <w:rPr>
          <w:rFonts w:hint="eastAsia" w:ascii="仿宋" w:hAnsi="仿宋" w:eastAsia="仿宋" w:cs="仿宋"/>
          <w:sz w:val="32"/>
          <w:szCs w:val="32"/>
        </w:rPr>
        <w:t xml:space="preserve">    5.重点项目评价结果上报和公开。评价工作结束后，形成书面材料分别报送省财政厅绩效处和市政府审批。经审批后，依法将重点项目的评价报告在市政府信息公开门户网站公开，接受社会监督。</w:t>
      </w:r>
    </w:p>
    <w:p>
      <w:pPr>
        <w:rPr>
          <w:rFonts w:ascii="仿宋" w:hAnsi="仿宋" w:eastAsia="仿宋" w:cs="仿宋"/>
          <w:b/>
          <w:sz w:val="32"/>
          <w:szCs w:val="32"/>
        </w:rPr>
      </w:pPr>
      <w:r>
        <w:rPr>
          <w:rFonts w:hint="eastAsia" w:ascii="仿宋" w:hAnsi="仿宋" w:eastAsia="仿宋" w:cs="仿宋"/>
          <w:sz w:val="32"/>
          <w:szCs w:val="32"/>
        </w:rPr>
        <w:t xml:space="preserve">   </w:t>
      </w:r>
      <w:r>
        <w:rPr>
          <w:rFonts w:hint="eastAsia" w:ascii="仿宋" w:hAnsi="仿宋" w:eastAsia="仿宋" w:cs="仿宋"/>
          <w:b/>
          <w:sz w:val="32"/>
          <w:szCs w:val="32"/>
        </w:rPr>
        <w:t xml:space="preserve"> 四、组织实施好预算部门（单位）绩效自评工作</w:t>
      </w:r>
    </w:p>
    <w:p>
      <w:pPr>
        <w:rPr>
          <w:rFonts w:ascii="仿宋" w:hAnsi="仿宋" w:eastAsia="仿宋" w:cs="仿宋"/>
          <w:sz w:val="32"/>
          <w:szCs w:val="32"/>
        </w:rPr>
      </w:pPr>
      <w:r>
        <w:rPr>
          <w:rFonts w:hint="eastAsia" w:ascii="仿宋" w:hAnsi="仿宋" w:eastAsia="仿宋" w:cs="仿宋"/>
          <w:sz w:val="32"/>
          <w:szCs w:val="32"/>
        </w:rPr>
        <w:t xml:space="preserve">     1.全面推进预算单位绩效自评的基础上。“采取走出去和引进来”相结合的方式，加强与其他市县的业务交流。</w:t>
      </w:r>
    </w:p>
    <w:p>
      <w:pPr>
        <w:ind w:firstLine="320" w:firstLineChars="100"/>
        <w:rPr>
          <w:rFonts w:ascii="仿宋" w:hAnsi="仿宋" w:eastAsia="仿宋" w:cs="仿宋"/>
          <w:sz w:val="32"/>
          <w:szCs w:val="32"/>
        </w:rPr>
      </w:pPr>
      <w:r>
        <w:rPr>
          <w:rFonts w:hint="eastAsia" w:ascii="仿宋" w:hAnsi="仿宋" w:eastAsia="仿宋" w:cs="仿宋"/>
          <w:sz w:val="32"/>
          <w:szCs w:val="32"/>
        </w:rPr>
        <w:t xml:space="preserve">   2.制定绩效评价方案，逐步扩大预算单位绩效自评与绩效运行监控工作相结合。为了提高绩效评价业务指导和业务推进的便捷性，计划对2022年衔接资金进行绩效运行监控的预算单位，同时开展绩效自评工作。</w:t>
      </w:r>
    </w:p>
    <w:p>
      <w:pPr>
        <w:rPr>
          <w:rFonts w:ascii="仿宋" w:hAnsi="仿宋" w:eastAsia="仿宋" w:cs="仿宋"/>
          <w:b/>
          <w:sz w:val="32"/>
          <w:szCs w:val="32"/>
        </w:rPr>
      </w:pPr>
      <w:r>
        <w:rPr>
          <w:rFonts w:hint="eastAsia" w:ascii="仿宋" w:hAnsi="仿宋" w:eastAsia="仿宋" w:cs="仿宋"/>
          <w:sz w:val="32"/>
          <w:szCs w:val="32"/>
        </w:rPr>
        <w:t xml:space="preserve">   </w:t>
      </w:r>
      <w:r>
        <w:rPr>
          <w:rFonts w:hint="eastAsia" w:ascii="仿宋" w:hAnsi="仿宋" w:eastAsia="仿宋" w:cs="仿宋"/>
          <w:b/>
          <w:sz w:val="32"/>
          <w:szCs w:val="32"/>
        </w:rPr>
        <w:t xml:space="preserve"> 五、做好财政支出及部门整体支出绩效评价工作</w:t>
      </w:r>
    </w:p>
    <w:p>
      <w:pPr>
        <w:rPr>
          <w:rFonts w:ascii="仿宋" w:hAnsi="仿宋" w:eastAsia="仿宋" w:cs="仿宋"/>
          <w:sz w:val="32"/>
          <w:szCs w:val="32"/>
        </w:rPr>
      </w:pPr>
      <w:r>
        <w:rPr>
          <w:rFonts w:hint="eastAsia" w:ascii="仿宋" w:hAnsi="仿宋" w:eastAsia="仿宋" w:cs="仿宋"/>
          <w:sz w:val="32"/>
          <w:szCs w:val="32"/>
        </w:rPr>
        <w:t xml:space="preserve">    1.借助预算一体化系统中预算绩效模块，全面开展部门整体支出绩效管理，严格遵照省财政厅《吉林省市县全面实施预算绩效管理工作指南》要求，拟定于2023年7月中旬完成我市2022年财政支出及部门整体支出绩效的评价工作;借助预算一体化系统，对我市2023年部门预算所有项目进行系统上填报绩效目标，仔细审核目标合规性、完整性等。</w:t>
      </w:r>
    </w:p>
    <w:p>
      <w:pPr>
        <w:rPr>
          <w:rFonts w:ascii="仿宋" w:hAnsi="仿宋" w:eastAsia="仿宋" w:cs="仿宋"/>
          <w:sz w:val="32"/>
          <w:szCs w:val="32"/>
        </w:rPr>
      </w:pPr>
      <w:r>
        <w:rPr>
          <w:rFonts w:hint="eastAsia" w:ascii="仿宋" w:hAnsi="仿宋" w:eastAsia="仿宋" w:cs="仿宋"/>
          <w:sz w:val="32"/>
          <w:szCs w:val="32"/>
        </w:rPr>
        <w:t xml:space="preserve">    2.有序推进部门整体支出绩效评价。一是要制定好我市开展部门整体支出绩效评价实施方案，明确推行进部门整体支出绩效评价工作的目标、步骤方法和要求；二是要全面加强学习培训，提高各预算单位对开展部门整体支出绩效评价的思想意识，了解和掌握自评操作的方式、方法，提高部门整体支出绩效评价的质量和水平。同时，争取联系省厅对我市进行专业化绩效管理方面的培训。</w:t>
      </w:r>
    </w:p>
    <w:p>
      <w:pPr>
        <w:rPr>
          <w:rFonts w:ascii="仿宋" w:hAnsi="仿宋" w:eastAsia="仿宋" w:cs="仿宋"/>
          <w:sz w:val="32"/>
          <w:szCs w:val="32"/>
        </w:rPr>
      </w:pPr>
      <w:r>
        <w:rPr>
          <w:rFonts w:hint="eastAsia" w:ascii="仿宋" w:hAnsi="仿宋" w:eastAsia="仿宋" w:cs="仿宋"/>
          <w:sz w:val="32"/>
          <w:szCs w:val="32"/>
        </w:rPr>
        <w:t xml:space="preserve">    六、宣传及培训工作安排</w:t>
      </w:r>
    </w:p>
    <w:p>
      <w:pPr>
        <w:rPr>
          <w:rFonts w:ascii="仿宋" w:hAnsi="仿宋" w:eastAsia="仿宋" w:cs="仿宋"/>
          <w:sz w:val="32"/>
          <w:szCs w:val="32"/>
        </w:rPr>
      </w:pPr>
      <w:r>
        <w:rPr>
          <w:rFonts w:hint="eastAsia" w:ascii="仿宋" w:hAnsi="仿宋" w:eastAsia="仿宋" w:cs="仿宋"/>
          <w:sz w:val="32"/>
          <w:szCs w:val="32"/>
        </w:rPr>
        <w:t xml:space="preserve">     1.要继续加强预算绩效管理工作的宣传。要充分利用电视台、政府网站和宣传横幅等多种方式，加强预算绩效管理工作力度，倡导绩效管理理念，进一步提高各预算部门（单位）对预算绩效管理工作的思想认识，有效引导各部门了解支持预算绩效管理、监督绩效结果应用，共同营造“讲绩效、重绩效、用绩效”的良好社会氛围。</w:t>
      </w:r>
    </w:p>
    <w:p>
      <w:pPr>
        <w:rPr>
          <w:rFonts w:ascii="仿宋" w:hAnsi="仿宋" w:eastAsia="仿宋" w:cs="仿宋"/>
          <w:sz w:val="32"/>
          <w:szCs w:val="32"/>
        </w:rPr>
      </w:pPr>
      <w:r>
        <w:rPr>
          <w:rFonts w:hint="eastAsia" w:ascii="仿宋" w:hAnsi="仿宋" w:eastAsia="仿宋" w:cs="仿宋"/>
          <w:sz w:val="32"/>
          <w:szCs w:val="32"/>
        </w:rPr>
        <w:t xml:space="preserve">      2.提高内部管理水平。加强人员培训，不断提高财政干部加强绩效管理的思想认识和业务能力，进一步改进工作方法，提高工作水平和工作效率，计划在6月下旬组织全市预算单位的业务人员进行预算绩效管理全流程实操培训会。</w:t>
      </w:r>
    </w:p>
    <w:p>
      <w:pPr>
        <w:ind w:firstLine="4640" w:firstLineChars="1450"/>
        <w:rPr>
          <w:rFonts w:hint="eastAsia" w:ascii="仿宋" w:hAnsi="仿宋" w:eastAsia="仿宋" w:cs="仿宋"/>
          <w:sz w:val="32"/>
          <w:szCs w:val="32"/>
        </w:rPr>
      </w:pPr>
    </w:p>
    <w:p>
      <w:pPr>
        <w:ind w:firstLine="4640" w:firstLineChars="1450"/>
        <w:rPr>
          <w:rFonts w:hint="eastAsia" w:ascii="仿宋" w:hAnsi="仿宋" w:eastAsia="仿宋" w:cs="仿宋"/>
          <w:sz w:val="32"/>
          <w:szCs w:val="32"/>
        </w:rPr>
      </w:pPr>
    </w:p>
    <w:p>
      <w:pPr>
        <w:ind w:firstLine="4640" w:firstLineChars="1450"/>
        <w:rPr>
          <w:rFonts w:hint="eastAsia" w:ascii="仿宋" w:hAnsi="仿宋" w:eastAsia="仿宋" w:cs="仿宋"/>
          <w:sz w:val="32"/>
          <w:szCs w:val="32"/>
        </w:rPr>
      </w:pPr>
    </w:p>
    <w:p>
      <w:pPr>
        <w:ind w:firstLine="4800" w:firstLineChars="1500"/>
        <w:rPr>
          <w:rFonts w:ascii="仿宋" w:hAnsi="仿宋" w:eastAsia="仿宋" w:cs="仿宋"/>
          <w:sz w:val="32"/>
          <w:szCs w:val="32"/>
        </w:rPr>
      </w:pPr>
      <w:r>
        <w:rPr>
          <w:rFonts w:hint="eastAsia" w:ascii="仿宋" w:hAnsi="仿宋" w:eastAsia="仿宋" w:cs="仿宋"/>
          <w:sz w:val="32"/>
          <w:szCs w:val="32"/>
        </w:rPr>
        <w:t>洮南市财政局</w:t>
      </w:r>
    </w:p>
    <w:p>
      <w:pPr>
        <w:ind w:firstLine="420"/>
        <w:jc w:val="left"/>
        <w:rPr>
          <w:rFonts w:hint="default" w:ascii="宋体" w:hAnsi="宋体" w:cs="宋体"/>
          <w:sz w:val="32"/>
          <w:szCs w:val="32"/>
          <w:lang w:val="en-US" w:eastAsia="zh-CN"/>
        </w:rPr>
      </w:pPr>
      <w:r>
        <w:rPr>
          <w:rFonts w:hint="eastAsia" w:ascii="仿宋" w:hAnsi="仿宋" w:eastAsia="仿宋" w:cs="仿宋"/>
          <w:sz w:val="32"/>
          <w:szCs w:val="32"/>
        </w:rPr>
        <w:t xml:space="preserve">                         </w:t>
      </w:r>
      <w:r>
        <w:rPr>
          <w:rFonts w:hint="eastAsia" w:ascii="仿宋" w:hAnsi="仿宋" w:eastAsia="仿宋" w:cs="仿宋"/>
          <w:sz w:val="32"/>
          <w:szCs w:val="32"/>
          <w:lang w:val="en-US" w:eastAsia="zh-CN"/>
        </w:rPr>
        <w:t xml:space="preserve">  </w:t>
      </w:r>
      <w:bookmarkStart w:id="0" w:name="_GoBack"/>
      <w:bookmarkEnd w:id="0"/>
      <w:r>
        <w:rPr>
          <w:rFonts w:hint="eastAsia" w:ascii="仿宋" w:hAnsi="仿宋" w:eastAsia="仿宋" w:cs="仿宋"/>
          <w:sz w:val="32"/>
          <w:szCs w:val="32"/>
        </w:rPr>
        <w:t xml:space="preserve"> </w:t>
      </w:r>
      <w:r>
        <w:rPr>
          <w:rFonts w:hint="eastAsia" w:ascii="宋体" w:hAnsi="宋体" w:cs="宋体"/>
          <w:sz w:val="32"/>
          <w:szCs w:val="32"/>
          <w:lang w:val="en-US" w:eastAsia="zh-CN"/>
        </w:rPr>
        <w:t>2022年12月</w:t>
      </w:r>
    </w:p>
    <w:p>
      <w:pPr>
        <w:ind w:firstLine="480" w:firstLineChars="150"/>
        <w:rPr>
          <w:rFonts w:ascii="仿宋" w:hAnsi="仿宋" w:eastAsia="仿宋" w:cs="仿宋"/>
          <w:sz w:val="32"/>
          <w:szCs w:val="32"/>
        </w:rPr>
      </w:pPr>
    </w:p>
    <w:p>
      <w:pPr>
        <w:ind w:firstLine="480" w:firstLineChars="150"/>
        <w:rPr>
          <w:rFonts w:ascii="仿宋" w:hAnsi="仿宋" w:eastAsia="仿宋" w:cs="仿宋"/>
          <w:sz w:val="32"/>
          <w:szCs w:val="32"/>
        </w:rPr>
      </w:pPr>
    </w:p>
    <w:p>
      <w:pPr>
        <w:rPr>
          <w:rFonts w:ascii="仿宋" w:hAnsi="仿宋" w:eastAsia="仿宋" w:cs="仿宋"/>
          <w:sz w:val="32"/>
          <w:szCs w:val="32"/>
        </w:rPr>
      </w:pPr>
    </w:p>
    <w:p>
      <w:pPr>
        <w:rPr>
          <w:rFonts w:ascii="仿宋" w:hAnsi="仿宋" w:eastAsia="仿宋" w:cs="仿宋"/>
          <w:sz w:val="32"/>
          <w:szCs w:val="32"/>
        </w:rPr>
      </w:pPr>
    </w:p>
    <w:p>
      <w:pPr>
        <w:rPr>
          <w:rFonts w:ascii="仿宋" w:hAnsi="仿宋" w:eastAsia="仿宋" w:cs="仿宋"/>
          <w:sz w:val="32"/>
          <w:szCs w:val="32"/>
        </w:rPr>
      </w:pPr>
    </w:p>
    <w:p>
      <w:pPr>
        <w:rPr>
          <w:rFonts w:ascii="仿宋" w:hAnsi="仿宋" w:eastAsia="仿宋" w:cs="仿宋"/>
          <w:sz w:val="32"/>
          <w:szCs w:val="32"/>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4097" o:spid="_x0000_s4097"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2</w:t>
                </w:r>
                <w:r>
                  <w:rPr>
                    <w:rFonts w:hint="eastAsia"/>
                    <w:sz w:val="18"/>
                  </w:rP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C404F5B"/>
    <w:multiLevelType w:val="multilevel"/>
    <w:tmpl w:val="5C404F5B"/>
    <w:lvl w:ilvl="0" w:tentative="0">
      <w:start w:val="1"/>
      <w:numFmt w:val="japaneseCounting"/>
      <w:lvlText w:val="%1、"/>
      <w:lvlJc w:val="left"/>
      <w:pPr>
        <w:ind w:left="1320" w:hanging="720"/>
      </w:pPr>
      <w:rPr>
        <w:rFonts w:hint="default"/>
      </w:rPr>
    </w:lvl>
    <w:lvl w:ilvl="1" w:tentative="0">
      <w:start w:val="1"/>
      <w:numFmt w:val="lowerLetter"/>
      <w:lvlText w:val="%2)"/>
      <w:lvlJc w:val="left"/>
      <w:pPr>
        <w:ind w:left="1440" w:hanging="420"/>
      </w:pPr>
    </w:lvl>
    <w:lvl w:ilvl="2" w:tentative="0">
      <w:start w:val="1"/>
      <w:numFmt w:val="lowerRoman"/>
      <w:lvlText w:val="%3."/>
      <w:lvlJc w:val="right"/>
      <w:pPr>
        <w:ind w:left="1860" w:hanging="420"/>
      </w:pPr>
    </w:lvl>
    <w:lvl w:ilvl="3" w:tentative="0">
      <w:start w:val="1"/>
      <w:numFmt w:val="decimal"/>
      <w:lvlText w:val="%4."/>
      <w:lvlJc w:val="left"/>
      <w:pPr>
        <w:ind w:left="2280" w:hanging="420"/>
      </w:pPr>
    </w:lvl>
    <w:lvl w:ilvl="4" w:tentative="0">
      <w:start w:val="1"/>
      <w:numFmt w:val="lowerLetter"/>
      <w:lvlText w:val="%5)"/>
      <w:lvlJc w:val="left"/>
      <w:pPr>
        <w:ind w:left="2700" w:hanging="420"/>
      </w:pPr>
    </w:lvl>
    <w:lvl w:ilvl="5" w:tentative="0">
      <w:start w:val="1"/>
      <w:numFmt w:val="lowerRoman"/>
      <w:lvlText w:val="%6."/>
      <w:lvlJc w:val="right"/>
      <w:pPr>
        <w:ind w:left="3120" w:hanging="420"/>
      </w:pPr>
    </w:lvl>
    <w:lvl w:ilvl="6" w:tentative="0">
      <w:start w:val="1"/>
      <w:numFmt w:val="decimal"/>
      <w:lvlText w:val="%7."/>
      <w:lvlJc w:val="left"/>
      <w:pPr>
        <w:ind w:left="3540" w:hanging="420"/>
      </w:pPr>
    </w:lvl>
    <w:lvl w:ilvl="7" w:tentative="0">
      <w:start w:val="1"/>
      <w:numFmt w:val="lowerLetter"/>
      <w:lvlText w:val="%8)"/>
      <w:lvlJc w:val="left"/>
      <w:pPr>
        <w:ind w:left="3960" w:hanging="420"/>
      </w:pPr>
    </w:lvl>
    <w:lvl w:ilvl="8" w:tentative="0">
      <w:start w:val="1"/>
      <w:numFmt w:val="lowerRoman"/>
      <w:lvlText w:val="%9."/>
      <w:lvlJc w:val="right"/>
      <w:pPr>
        <w:ind w:left="43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DdlMDJkMWY0NzMwOTMyNjM3YWM1MjE4YWZjMjliZmIifQ=="/>
  </w:docVars>
  <w:rsids>
    <w:rsidRoot w:val="00F31DF2"/>
    <w:rsid w:val="00152EFF"/>
    <w:rsid w:val="001542FC"/>
    <w:rsid w:val="001A5D1C"/>
    <w:rsid w:val="0023020E"/>
    <w:rsid w:val="002F6008"/>
    <w:rsid w:val="00326DD4"/>
    <w:rsid w:val="00423D1E"/>
    <w:rsid w:val="005B592E"/>
    <w:rsid w:val="005C5F82"/>
    <w:rsid w:val="005D39BB"/>
    <w:rsid w:val="006E509C"/>
    <w:rsid w:val="00734DC8"/>
    <w:rsid w:val="00766A1A"/>
    <w:rsid w:val="00AE5F20"/>
    <w:rsid w:val="00C70157"/>
    <w:rsid w:val="00CB67FD"/>
    <w:rsid w:val="00CE3194"/>
    <w:rsid w:val="00D13A67"/>
    <w:rsid w:val="00D65B19"/>
    <w:rsid w:val="00E05038"/>
    <w:rsid w:val="00E6284D"/>
    <w:rsid w:val="00E81A8C"/>
    <w:rsid w:val="00EC5744"/>
    <w:rsid w:val="00F132C8"/>
    <w:rsid w:val="00F31DF2"/>
    <w:rsid w:val="00F53372"/>
    <w:rsid w:val="00F64CD6"/>
    <w:rsid w:val="00F970DD"/>
    <w:rsid w:val="00FA5F9D"/>
    <w:rsid w:val="0BCB63DE"/>
    <w:rsid w:val="0D8C49D6"/>
    <w:rsid w:val="24F23A7D"/>
    <w:rsid w:val="29126508"/>
    <w:rsid w:val="313E7CEC"/>
    <w:rsid w:val="394A385D"/>
    <w:rsid w:val="3B293B21"/>
    <w:rsid w:val="3E902B56"/>
    <w:rsid w:val="50A5136C"/>
    <w:rsid w:val="559C2154"/>
    <w:rsid w:val="656A29B9"/>
    <w:rsid w:val="71526242"/>
    <w:rsid w:val="725801C6"/>
    <w:rsid w:val="79A333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8"/>
    <w:qFormat/>
    <w:uiPriority w:val="9"/>
    <w:pPr>
      <w:keepNext/>
      <w:keepLines/>
      <w:spacing w:before="340" w:after="330" w:line="578" w:lineRule="auto"/>
      <w:outlineLvl w:val="0"/>
    </w:pPr>
    <w:rPr>
      <w:b/>
      <w:bCs/>
      <w:kern w:val="44"/>
      <w:sz w:val="44"/>
      <w:szCs w:val="44"/>
    </w:rPr>
  </w:style>
  <w:style w:type="paragraph" w:styleId="3">
    <w:name w:val="heading 2"/>
    <w:basedOn w:val="1"/>
    <w:next w:val="1"/>
    <w:unhideWhenUsed/>
    <w:qFormat/>
    <w:uiPriority w:val="9"/>
    <w:pPr>
      <w:keepNext/>
      <w:keepLines/>
      <w:spacing w:line="413" w:lineRule="auto"/>
      <w:outlineLvl w:val="1"/>
    </w:pPr>
    <w:rPr>
      <w:rFonts w:ascii="Arial" w:hAnsi="Arial" w:eastAsia="黑体"/>
      <w:b/>
      <w:sz w:val="32"/>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4">
    <w:name w:val="footer"/>
    <w:basedOn w:val="1"/>
    <w:unhideWhenUsed/>
    <w:qFormat/>
    <w:uiPriority w:val="99"/>
    <w:pPr>
      <w:tabs>
        <w:tab w:val="center" w:pos="4153"/>
        <w:tab w:val="right" w:pos="8306"/>
      </w:tabs>
      <w:snapToGrid w:val="0"/>
      <w:jc w:val="left"/>
    </w:pPr>
    <w:rPr>
      <w:sz w:val="18"/>
    </w:rPr>
  </w:style>
  <w:style w:type="paragraph" w:styleId="5">
    <w:name w:val="header"/>
    <w:basedOn w:val="1"/>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customStyle="1" w:styleId="8">
    <w:name w:val="标题 1 Char"/>
    <w:basedOn w:val="7"/>
    <w:link w:val="2"/>
    <w:qFormat/>
    <w:uiPriority w:val="9"/>
    <w:rPr>
      <w:b/>
      <w:bCs/>
      <w:kern w:val="44"/>
      <w:sz w:val="44"/>
      <w:szCs w:val="44"/>
    </w:rPr>
  </w:style>
  <w:style w:type="paragraph" w:customStyle="1" w:styleId="9">
    <w:name w:val="列出段落1"/>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284</Words>
  <Characters>1624</Characters>
  <Lines>13</Lines>
  <Paragraphs>3</Paragraphs>
  <TotalTime>0</TotalTime>
  <ScaleCrop>false</ScaleCrop>
  <LinksUpToDate>false</LinksUpToDate>
  <CharactersWithSpaces>1905</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2023-05-24T00:30:00Z</dcterms:created>
  <dc:creator>Administrator</dc:creator>
  <cp:lastModifiedBy>Tian Denghui</cp:lastModifiedBy>
  <cp:lastPrinted>2022-05-25T03:12:00Z</cp:lastPrinted>
  <dcterms:modified xsi:type="dcterms:W3CDTF">2023-05-30T01:40:47Z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4471D9FE42AA4B0CB3413E39E0D7CB24</vt:lpwstr>
  </property>
</Properties>
</file>