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FC16D">
      <w:pPr>
        <w:keepNext w:val="0"/>
        <w:keepLines w:val="0"/>
        <w:pageBreakBefore w:val="0"/>
        <w:widowControl w:val="0"/>
        <w:kinsoku/>
        <w:wordWrap/>
        <w:overflowPunct/>
        <w:topLinePunct w:val="0"/>
        <w:autoSpaceDE/>
        <w:autoSpaceDN/>
        <w:bidi w:val="0"/>
        <w:adjustRightInd/>
        <w:snapToGrid/>
        <w:jc w:val="center"/>
        <w:textAlignment w:val="auto"/>
        <w:rPr>
          <w:rFonts w:hint="eastAsia" w:cs="Times New Roman" w:eastAsiaTheme="majorEastAsia"/>
          <w:spacing w:val="10"/>
          <w:sz w:val="44"/>
          <w:szCs w:val="44"/>
          <w:lang w:eastAsia="zh-CN"/>
        </w:rPr>
      </w:pPr>
      <w:r>
        <w:rPr>
          <w:rFonts w:hint="default" w:ascii="Times New Roman" w:hAnsi="Times New Roman" w:cs="Times New Roman" w:eastAsiaTheme="majorEastAsia"/>
          <w:spacing w:val="10"/>
          <w:sz w:val="44"/>
          <w:szCs w:val="44"/>
        </w:rPr>
        <mc:AlternateContent>
          <mc:Choice Requires="wps">
            <w:drawing>
              <wp:anchor distT="0" distB="0" distL="114300" distR="114300" simplePos="0" relativeHeight="251659264" behindDoc="0" locked="0" layoutInCell="1" allowOverlap="1">
                <wp:simplePos x="0" y="0"/>
                <wp:positionH relativeFrom="column">
                  <wp:posOffset>27305</wp:posOffset>
                </wp:positionH>
                <wp:positionV relativeFrom="paragraph">
                  <wp:posOffset>-780415</wp:posOffset>
                </wp:positionV>
                <wp:extent cx="5379085" cy="396240"/>
                <wp:effectExtent l="0" t="0" r="12065" b="3810"/>
                <wp:wrapNone/>
                <wp:docPr id="2" name="文本框 2"/>
                <wp:cNvGraphicFramePr/>
                <a:graphic xmlns:a="http://schemas.openxmlformats.org/drawingml/2006/main">
                  <a:graphicData uri="http://schemas.microsoft.com/office/word/2010/wordprocessingShape">
                    <wps:wsp>
                      <wps:cNvSpPr txBox="1"/>
                      <wps:spPr>
                        <a:xfrm>
                          <a:off x="0" y="0"/>
                          <a:ext cx="5379085" cy="396240"/>
                        </a:xfrm>
                        <a:prstGeom prst="rect">
                          <a:avLst/>
                        </a:prstGeom>
                        <a:solidFill>
                          <a:srgbClr val="FFFFFF"/>
                        </a:solidFill>
                        <a:ln>
                          <a:noFill/>
                        </a:ln>
                      </wps:spPr>
                      <wps:txbx>
                        <w:txbxContent>
                          <w:p w14:paraId="08F779DC">
                            <w:pPr>
                              <w:rPr>
                                <w:rFonts w:hint="eastAsia" w:ascii="楷体_GB2312" w:eastAsia="楷体_GB2312"/>
                                <w:b/>
                                <w:sz w:val="28"/>
                                <w:szCs w:val="28"/>
                              </w:rPr>
                            </w:pPr>
                            <w:r>
                              <w:rPr>
                                <w:rFonts w:hint="eastAsia" w:ascii="楷体_GB2312" w:eastAsia="楷体_GB2312"/>
                                <w:b/>
                                <w:sz w:val="28"/>
                                <w:szCs w:val="28"/>
                              </w:rPr>
                              <w:t>十</w:t>
                            </w:r>
                            <w:r>
                              <w:rPr>
                                <w:rFonts w:hint="eastAsia" w:ascii="楷体_GB2312" w:eastAsia="楷体_GB2312"/>
                                <w:b/>
                                <w:sz w:val="28"/>
                                <w:szCs w:val="28"/>
                                <w:lang w:eastAsia="zh-CN"/>
                              </w:rPr>
                              <w:t>九</w:t>
                            </w:r>
                            <w:r>
                              <w:rPr>
                                <w:rFonts w:hint="eastAsia" w:ascii="楷体_GB2312" w:eastAsia="楷体_GB2312"/>
                                <w:b/>
                                <w:sz w:val="28"/>
                                <w:szCs w:val="28"/>
                              </w:rPr>
                              <w:t>届人大第</w:t>
                            </w:r>
                            <w:r>
                              <w:rPr>
                                <w:rFonts w:hint="eastAsia" w:ascii="楷体_GB2312" w:eastAsia="楷体_GB2312"/>
                                <w:b/>
                                <w:sz w:val="28"/>
                                <w:szCs w:val="28"/>
                                <w:lang w:val="en-US" w:eastAsia="zh-CN"/>
                              </w:rPr>
                              <w:t>三十</w:t>
                            </w:r>
                            <w:r>
                              <w:rPr>
                                <w:rFonts w:hint="eastAsia" w:ascii="楷体_GB2312" w:eastAsia="楷体_GB2312"/>
                                <w:b/>
                                <w:sz w:val="28"/>
                                <w:szCs w:val="28"/>
                              </w:rPr>
                              <w:t>次常委会材料</w:t>
                            </w:r>
                          </w:p>
                          <w:p w14:paraId="4DD9432E"/>
                        </w:txbxContent>
                      </wps:txbx>
                      <wps:bodyPr upright="1"/>
                    </wps:wsp>
                  </a:graphicData>
                </a:graphic>
              </wp:anchor>
            </w:drawing>
          </mc:Choice>
          <mc:Fallback>
            <w:pict>
              <v:shape id="_x0000_s1026" o:spid="_x0000_s1026" o:spt="202" type="#_x0000_t202" style="position:absolute;left:0pt;margin-left:2.15pt;margin-top:-61.45pt;height:31.2pt;width:423.55pt;z-index:251659264;mso-width-relative:page;mso-height-relative:page;" fillcolor="#FFFFFF" filled="t" stroked="f" coordsize="21600,21600" o:gfxdata="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rLkTr2AAAAAoBAAAPAAAAAAAAAAEAIAAAACIAAABkcnMvZG93bnJl&#10;di54bWxQSwECFAAUAAAACACHTuJAGtox7cQBAAB3AwAADgAAAAAAAAABACAAAAAnAQAAZHJzL2Uy&#10;b0RvYy54bWxQSwUGAAAAAAYABgBZAQAAXQUAAAAA&#10;">
                <v:fill on="t" focussize="0,0"/>
                <v:stroke on="f"/>
                <v:imagedata o:title=""/>
                <o:lock v:ext="edit" aspectratio="f"/>
                <v:textbox>
                  <w:txbxContent>
                    <w:p w14:paraId="08F779DC">
                      <w:pPr>
                        <w:rPr>
                          <w:rFonts w:hint="eastAsia" w:ascii="楷体_GB2312" w:eastAsia="楷体_GB2312"/>
                          <w:b/>
                          <w:sz w:val="28"/>
                          <w:szCs w:val="28"/>
                        </w:rPr>
                      </w:pPr>
                      <w:r>
                        <w:rPr>
                          <w:rFonts w:hint="eastAsia" w:ascii="楷体_GB2312" w:eastAsia="楷体_GB2312"/>
                          <w:b/>
                          <w:sz w:val="28"/>
                          <w:szCs w:val="28"/>
                        </w:rPr>
                        <w:t>十</w:t>
                      </w:r>
                      <w:r>
                        <w:rPr>
                          <w:rFonts w:hint="eastAsia" w:ascii="楷体_GB2312" w:eastAsia="楷体_GB2312"/>
                          <w:b/>
                          <w:sz w:val="28"/>
                          <w:szCs w:val="28"/>
                          <w:lang w:eastAsia="zh-CN"/>
                        </w:rPr>
                        <w:t>九</w:t>
                      </w:r>
                      <w:r>
                        <w:rPr>
                          <w:rFonts w:hint="eastAsia" w:ascii="楷体_GB2312" w:eastAsia="楷体_GB2312"/>
                          <w:b/>
                          <w:sz w:val="28"/>
                          <w:szCs w:val="28"/>
                        </w:rPr>
                        <w:t>届人大第</w:t>
                      </w:r>
                      <w:r>
                        <w:rPr>
                          <w:rFonts w:hint="eastAsia" w:ascii="楷体_GB2312" w:eastAsia="楷体_GB2312"/>
                          <w:b/>
                          <w:sz w:val="28"/>
                          <w:szCs w:val="28"/>
                          <w:lang w:val="en-US" w:eastAsia="zh-CN"/>
                        </w:rPr>
                        <w:t>三十</w:t>
                      </w:r>
                      <w:r>
                        <w:rPr>
                          <w:rFonts w:hint="eastAsia" w:ascii="楷体_GB2312" w:eastAsia="楷体_GB2312"/>
                          <w:b/>
                          <w:sz w:val="28"/>
                          <w:szCs w:val="28"/>
                        </w:rPr>
                        <w:t>次常委会材料</w:t>
                      </w:r>
                    </w:p>
                    <w:p w14:paraId="4DD9432E"/>
                  </w:txbxContent>
                </v:textbox>
              </v:shape>
            </w:pict>
          </mc:Fallback>
        </mc:AlternateContent>
      </w:r>
      <w:r>
        <w:rPr>
          <w:rFonts w:hint="eastAsia" w:cs="Times New Roman" w:eastAsiaTheme="majorEastAsia"/>
          <w:spacing w:val="10"/>
          <w:sz w:val="44"/>
          <w:szCs w:val="44"/>
          <w:lang w:eastAsia="zh-CN"/>
        </w:rPr>
        <w:t>洮南市人民政府</w:t>
      </w:r>
    </w:p>
    <w:p w14:paraId="26DCE91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eastAsiaTheme="majorEastAsia"/>
          <w:spacing w:val="10"/>
          <w:sz w:val="44"/>
          <w:szCs w:val="44"/>
        </w:rPr>
      </w:pPr>
      <w:r>
        <w:rPr>
          <w:rFonts w:hint="default" w:ascii="Times New Roman" w:hAnsi="Times New Roman" w:cs="Times New Roman" w:eastAsiaTheme="majorEastAsia"/>
          <w:spacing w:val="10"/>
          <w:sz w:val="44"/>
          <w:szCs w:val="44"/>
        </w:rPr>
        <w:t>关于</w:t>
      </w:r>
      <w:r>
        <w:rPr>
          <w:rFonts w:hint="eastAsia" w:cs="Times New Roman" w:eastAsiaTheme="majorEastAsia"/>
          <w:spacing w:val="10"/>
          <w:sz w:val="44"/>
          <w:szCs w:val="44"/>
          <w:lang w:eastAsia="zh-CN"/>
        </w:rPr>
        <w:t>提请审议</w:t>
      </w:r>
      <w:r>
        <w:rPr>
          <w:rFonts w:hint="default" w:ascii="Times New Roman" w:hAnsi="Times New Roman" w:cs="Times New Roman" w:eastAsiaTheme="majorEastAsia"/>
          <w:spacing w:val="10"/>
          <w:sz w:val="44"/>
          <w:szCs w:val="44"/>
        </w:rPr>
        <w:t>2024年</w:t>
      </w:r>
      <w:r>
        <w:rPr>
          <w:rFonts w:hint="eastAsia" w:cs="Times New Roman" w:eastAsiaTheme="majorEastAsia"/>
          <w:spacing w:val="10"/>
          <w:sz w:val="44"/>
          <w:szCs w:val="44"/>
          <w:lang w:val="en-US" w:eastAsia="zh-CN"/>
        </w:rPr>
        <w:t>市本级</w:t>
      </w:r>
      <w:r>
        <w:rPr>
          <w:rFonts w:hint="default" w:ascii="Times New Roman" w:hAnsi="Times New Roman" w:cs="Times New Roman" w:eastAsiaTheme="majorEastAsia"/>
          <w:spacing w:val="10"/>
          <w:sz w:val="44"/>
          <w:szCs w:val="44"/>
        </w:rPr>
        <w:t>预算调整</w:t>
      </w:r>
    </w:p>
    <w:p w14:paraId="65AB62A8">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eastAsiaTheme="majorEastAsia"/>
          <w:spacing w:val="10"/>
          <w:sz w:val="44"/>
          <w:szCs w:val="44"/>
        </w:rPr>
      </w:pPr>
      <w:r>
        <w:rPr>
          <w:rFonts w:hint="default" w:ascii="Times New Roman" w:hAnsi="Times New Roman" w:cs="Times New Roman" w:eastAsiaTheme="majorEastAsia"/>
          <w:spacing w:val="10"/>
          <w:sz w:val="44"/>
          <w:szCs w:val="44"/>
        </w:rPr>
        <w:t>方案（草案）的议案</w:t>
      </w:r>
    </w:p>
    <w:p w14:paraId="17F3A915">
      <w:pPr>
        <w:keepNext w:val="0"/>
        <w:keepLines w:val="0"/>
        <w:pageBreakBefore w:val="0"/>
        <w:widowControl w:val="0"/>
        <w:kinsoku/>
        <w:wordWrap/>
        <w:overflowPunct/>
        <w:topLinePunct w:val="0"/>
        <w:autoSpaceDE/>
        <w:autoSpaceDN/>
        <w:bidi w:val="0"/>
        <w:adjustRightInd/>
        <w:snapToGrid/>
        <w:ind w:firstLine="680" w:firstLineChars="200"/>
        <w:textAlignment w:val="auto"/>
        <w:rPr>
          <w:rFonts w:hint="default" w:ascii="Times New Roman" w:hAnsi="Times New Roman" w:eastAsia="仿宋_GB2312" w:cs="Times New Roman"/>
          <w:spacing w:val="10"/>
          <w:sz w:val="32"/>
          <w:szCs w:val="32"/>
        </w:rPr>
      </w:pPr>
      <w:r>
        <w:rPr>
          <w:rFonts w:hint="default" w:ascii="Times New Roman" w:hAnsi="Times New Roman" w:eastAsia="仿宋_GB2312" w:cs="Times New Roman"/>
          <w:spacing w:val="10"/>
          <w:sz w:val="32"/>
          <w:szCs w:val="32"/>
        </w:rPr>
        <w:t xml:space="preserve"> </w:t>
      </w:r>
    </w:p>
    <w:p w14:paraId="1B9658B7">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仿宋_GB2312" w:cs="Times New Roman"/>
          <w:spacing w:val="10"/>
          <w:sz w:val="32"/>
          <w:szCs w:val="32"/>
          <w:lang w:eastAsia="zh-CN"/>
        </w:rPr>
      </w:pPr>
      <w:r>
        <w:rPr>
          <w:rFonts w:hint="eastAsia" w:eastAsia="仿宋_GB2312" w:cs="Times New Roman"/>
          <w:spacing w:val="10"/>
          <w:sz w:val="32"/>
          <w:szCs w:val="32"/>
          <w:lang w:eastAsia="zh-CN"/>
        </w:rPr>
        <w:t>市人大常委会：</w:t>
      </w:r>
    </w:p>
    <w:p w14:paraId="5286EC18">
      <w:pPr>
        <w:keepNext w:val="0"/>
        <w:keepLines w:val="0"/>
        <w:pageBreakBefore w:val="0"/>
        <w:widowControl w:val="0"/>
        <w:kinsoku/>
        <w:wordWrap/>
        <w:overflowPunct/>
        <w:topLinePunct w:val="0"/>
        <w:autoSpaceDE/>
        <w:autoSpaceDN/>
        <w:bidi w:val="0"/>
        <w:adjustRightInd/>
        <w:snapToGrid/>
        <w:ind w:firstLine="680" w:firstLineChars="200"/>
        <w:textAlignment w:val="auto"/>
        <w:rPr>
          <w:rFonts w:hint="default" w:ascii="Times New Roman" w:hAnsi="Times New Roman" w:eastAsia="仿宋_GB2312" w:cs="Times New Roman"/>
          <w:spacing w:val="10"/>
          <w:sz w:val="32"/>
          <w:szCs w:val="32"/>
        </w:rPr>
      </w:pPr>
      <w:r>
        <w:rPr>
          <w:rFonts w:hint="default" w:ascii="Times New Roman" w:hAnsi="Times New Roman" w:eastAsia="仿宋_GB2312" w:cs="Times New Roman"/>
          <w:spacing w:val="10"/>
          <w:sz w:val="32"/>
          <w:szCs w:val="32"/>
        </w:rPr>
        <w:t>按照《中华人民共和</w:t>
      </w:r>
      <w:bookmarkStart w:id="0" w:name="_GoBack"/>
      <w:bookmarkEnd w:id="0"/>
      <w:r>
        <w:rPr>
          <w:rFonts w:hint="default" w:ascii="Times New Roman" w:hAnsi="Times New Roman" w:eastAsia="仿宋_GB2312" w:cs="Times New Roman"/>
          <w:spacing w:val="10"/>
          <w:sz w:val="32"/>
          <w:szCs w:val="32"/>
        </w:rPr>
        <w:t xml:space="preserve">国预算法》及其实施条例有关规定， </w:t>
      </w:r>
      <w:r>
        <w:rPr>
          <w:rFonts w:hint="eastAsia" w:eastAsia="仿宋_GB2312" w:cs="Times New Roman"/>
          <w:spacing w:val="10"/>
          <w:sz w:val="32"/>
          <w:szCs w:val="32"/>
          <w:lang w:eastAsia="zh-CN"/>
        </w:rPr>
        <w:t>现将我市</w:t>
      </w:r>
      <w:r>
        <w:rPr>
          <w:rFonts w:hint="default" w:ascii="Times New Roman" w:hAnsi="Times New Roman" w:eastAsia="仿宋_GB2312" w:cs="Times New Roman"/>
          <w:spacing w:val="10"/>
          <w:sz w:val="32"/>
          <w:szCs w:val="32"/>
        </w:rPr>
        <w:t>2024年</w:t>
      </w:r>
      <w:r>
        <w:rPr>
          <w:rFonts w:hint="eastAsia" w:eastAsia="仿宋_GB2312" w:cs="Times New Roman"/>
          <w:spacing w:val="10"/>
          <w:sz w:val="32"/>
          <w:szCs w:val="32"/>
          <w:lang w:val="en-US" w:eastAsia="zh-CN"/>
        </w:rPr>
        <w:t>市本级</w:t>
      </w:r>
      <w:r>
        <w:rPr>
          <w:rFonts w:hint="default" w:ascii="Times New Roman" w:hAnsi="Times New Roman" w:eastAsia="仿宋_GB2312" w:cs="Times New Roman"/>
          <w:spacing w:val="10"/>
          <w:sz w:val="32"/>
          <w:szCs w:val="32"/>
        </w:rPr>
        <w:t>预算调整方案（草案）</w:t>
      </w:r>
      <w:r>
        <w:rPr>
          <w:rFonts w:hint="eastAsia" w:eastAsia="仿宋_GB2312" w:cs="Times New Roman"/>
          <w:spacing w:val="10"/>
          <w:sz w:val="32"/>
          <w:szCs w:val="32"/>
          <w:lang w:eastAsia="zh-CN"/>
        </w:rPr>
        <w:t>提请审议。</w:t>
      </w:r>
    </w:p>
    <w:p w14:paraId="75445D0A">
      <w:pPr>
        <w:keepNext w:val="0"/>
        <w:keepLines w:val="0"/>
        <w:pageBreakBefore w:val="0"/>
        <w:widowControl w:val="0"/>
        <w:kinsoku/>
        <w:wordWrap/>
        <w:overflowPunct/>
        <w:topLinePunct w:val="0"/>
        <w:autoSpaceDE/>
        <w:autoSpaceDN/>
        <w:bidi w:val="0"/>
        <w:adjustRightInd/>
        <w:snapToGrid/>
        <w:ind w:firstLine="680" w:firstLineChars="200"/>
        <w:textAlignment w:val="auto"/>
        <w:rPr>
          <w:rFonts w:hint="default" w:ascii="Times New Roman" w:hAnsi="Times New Roman" w:eastAsia="黑体" w:cs="Times New Roman"/>
          <w:spacing w:val="10"/>
          <w:sz w:val="32"/>
          <w:szCs w:val="32"/>
        </w:rPr>
      </w:pPr>
      <w:r>
        <w:rPr>
          <w:rFonts w:hint="default" w:ascii="Times New Roman" w:hAnsi="Times New Roman" w:eastAsia="黑体" w:cs="Times New Roman"/>
          <w:spacing w:val="10"/>
          <w:sz w:val="32"/>
          <w:szCs w:val="32"/>
        </w:rPr>
        <w:t>一、调整事项</w:t>
      </w:r>
    </w:p>
    <w:p w14:paraId="7B9B1B8F">
      <w:pPr>
        <w:keepNext w:val="0"/>
        <w:keepLines w:val="0"/>
        <w:pageBreakBefore w:val="0"/>
        <w:widowControl w:val="0"/>
        <w:kinsoku/>
        <w:wordWrap/>
        <w:overflowPunct/>
        <w:topLinePunct w:val="0"/>
        <w:autoSpaceDE/>
        <w:autoSpaceDN/>
        <w:bidi w:val="0"/>
        <w:adjustRightInd/>
        <w:snapToGrid/>
        <w:ind w:firstLine="680" w:firstLineChars="200"/>
        <w:textAlignment w:val="auto"/>
        <w:rPr>
          <w:rFonts w:hint="default" w:ascii="Times New Roman" w:hAnsi="Times New Roman" w:eastAsia="楷体_GB2312" w:cs="Times New Roman"/>
          <w:spacing w:val="10"/>
          <w:sz w:val="32"/>
          <w:szCs w:val="32"/>
        </w:rPr>
      </w:pPr>
      <w:r>
        <w:rPr>
          <w:rFonts w:hint="default" w:ascii="Times New Roman" w:hAnsi="Times New Roman" w:eastAsia="楷体_GB2312" w:cs="Times New Roman"/>
          <w:spacing w:val="10"/>
          <w:sz w:val="32"/>
          <w:szCs w:val="32"/>
        </w:rPr>
        <w:t>（一）2024年新增政府债务限额及资金安排</w:t>
      </w:r>
    </w:p>
    <w:p w14:paraId="565A3890">
      <w:pPr>
        <w:keepNext w:val="0"/>
        <w:keepLines w:val="0"/>
        <w:pageBreakBefore w:val="0"/>
        <w:widowControl w:val="0"/>
        <w:kinsoku/>
        <w:wordWrap/>
        <w:overflowPunct/>
        <w:topLinePunct w:val="0"/>
        <w:autoSpaceDE/>
        <w:autoSpaceDN/>
        <w:bidi w:val="0"/>
        <w:adjustRightInd/>
        <w:snapToGrid/>
        <w:ind w:firstLine="683" w:firstLineChars="200"/>
        <w:textAlignment w:val="auto"/>
        <w:rPr>
          <w:rFonts w:hint="default" w:ascii="Times New Roman" w:hAnsi="Times New Roman" w:eastAsia="仿宋_GB2312" w:cs="Times New Roman"/>
          <w:spacing w:val="10"/>
          <w:sz w:val="32"/>
          <w:szCs w:val="32"/>
          <w:lang w:eastAsia="zh-CN"/>
        </w:rPr>
      </w:pPr>
      <w:r>
        <w:rPr>
          <w:rFonts w:hint="default" w:ascii="Times New Roman" w:hAnsi="Times New Roman" w:eastAsia="仿宋_GB2312" w:cs="Times New Roman"/>
          <w:b/>
          <w:bCs/>
          <w:spacing w:val="10"/>
          <w:sz w:val="32"/>
          <w:szCs w:val="32"/>
          <w:lang w:val="en-US" w:eastAsia="zh-CN"/>
        </w:rPr>
        <w:t>1、</w:t>
      </w:r>
      <w:r>
        <w:rPr>
          <w:rFonts w:hint="default" w:ascii="Times New Roman" w:hAnsi="Times New Roman" w:eastAsia="仿宋_GB2312" w:cs="Times New Roman"/>
          <w:b/>
          <w:bCs/>
          <w:spacing w:val="10"/>
          <w:sz w:val="32"/>
          <w:szCs w:val="32"/>
        </w:rPr>
        <w:t>新增</w:t>
      </w:r>
      <w:r>
        <w:rPr>
          <w:rFonts w:hint="default" w:ascii="Times New Roman" w:hAnsi="Times New Roman" w:eastAsia="仿宋_GB2312" w:cs="Times New Roman"/>
          <w:b/>
          <w:bCs/>
          <w:spacing w:val="10"/>
          <w:sz w:val="32"/>
          <w:szCs w:val="32"/>
          <w:lang w:eastAsia="zh-CN"/>
        </w:rPr>
        <w:t>政府</w:t>
      </w:r>
      <w:r>
        <w:rPr>
          <w:rFonts w:hint="default" w:ascii="Times New Roman" w:hAnsi="Times New Roman" w:eastAsia="仿宋_GB2312" w:cs="Times New Roman"/>
          <w:b/>
          <w:bCs/>
          <w:spacing w:val="10"/>
          <w:sz w:val="32"/>
          <w:szCs w:val="32"/>
        </w:rPr>
        <w:t>债务限额</w:t>
      </w:r>
      <w:r>
        <w:rPr>
          <w:rFonts w:hint="default" w:ascii="Times New Roman" w:hAnsi="Times New Roman" w:eastAsia="仿宋_GB2312" w:cs="Times New Roman"/>
          <w:b/>
          <w:bCs/>
          <w:spacing w:val="10"/>
          <w:sz w:val="32"/>
          <w:szCs w:val="32"/>
          <w:lang w:val="en-US" w:eastAsia="zh-CN"/>
        </w:rPr>
        <w:t>基本</w:t>
      </w:r>
      <w:r>
        <w:rPr>
          <w:rFonts w:hint="default" w:ascii="Times New Roman" w:hAnsi="Times New Roman" w:eastAsia="仿宋_GB2312" w:cs="Times New Roman"/>
          <w:b/>
          <w:bCs/>
          <w:spacing w:val="10"/>
          <w:sz w:val="32"/>
          <w:szCs w:val="32"/>
        </w:rPr>
        <w:t>情况。</w:t>
      </w:r>
      <w:r>
        <w:rPr>
          <w:rFonts w:hint="default" w:ascii="Times New Roman" w:hAnsi="Times New Roman" w:eastAsia="仿宋_GB2312" w:cs="Times New Roman"/>
          <w:spacing w:val="10"/>
          <w:sz w:val="32"/>
          <w:szCs w:val="32"/>
        </w:rPr>
        <w:t>202</w:t>
      </w:r>
      <w:r>
        <w:rPr>
          <w:rFonts w:hint="default" w:ascii="Times New Roman" w:hAnsi="Times New Roman" w:eastAsia="仿宋_GB2312" w:cs="Times New Roman"/>
          <w:spacing w:val="10"/>
          <w:sz w:val="32"/>
          <w:szCs w:val="32"/>
          <w:lang w:val="en-US" w:eastAsia="zh-CN"/>
        </w:rPr>
        <w:t>4</w:t>
      </w:r>
      <w:r>
        <w:rPr>
          <w:rFonts w:hint="default" w:ascii="Times New Roman" w:hAnsi="Times New Roman" w:eastAsia="仿宋_GB2312" w:cs="Times New Roman"/>
          <w:spacing w:val="10"/>
          <w:sz w:val="32"/>
          <w:szCs w:val="32"/>
        </w:rPr>
        <w:t>年</w:t>
      </w:r>
      <w:r>
        <w:rPr>
          <w:rFonts w:hint="default" w:ascii="Times New Roman" w:hAnsi="Times New Roman" w:eastAsia="仿宋_GB2312" w:cs="Times New Roman"/>
          <w:spacing w:val="10"/>
          <w:sz w:val="32"/>
          <w:szCs w:val="32"/>
          <w:lang w:eastAsia="zh-CN"/>
        </w:rPr>
        <w:t>，</w:t>
      </w:r>
      <w:r>
        <w:rPr>
          <w:rFonts w:hint="default" w:ascii="Times New Roman" w:hAnsi="Times New Roman" w:eastAsia="仿宋_GB2312" w:cs="Times New Roman"/>
          <w:spacing w:val="10"/>
          <w:sz w:val="32"/>
          <w:szCs w:val="32"/>
        </w:rPr>
        <w:t>经省政府批准，省财政厅核定洮南市202</w:t>
      </w:r>
      <w:r>
        <w:rPr>
          <w:rFonts w:hint="default" w:ascii="Times New Roman" w:hAnsi="Times New Roman" w:eastAsia="仿宋_GB2312" w:cs="Times New Roman"/>
          <w:spacing w:val="10"/>
          <w:sz w:val="32"/>
          <w:szCs w:val="32"/>
          <w:lang w:val="en-US" w:eastAsia="zh-CN"/>
        </w:rPr>
        <w:t>4</w:t>
      </w:r>
      <w:r>
        <w:rPr>
          <w:rFonts w:hint="default" w:ascii="Times New Roman" w:hAnsi="Times New Roman" w:eastAsia="仿宋_GB2312" w:cs="Times New Roman"/>
          <w:spacing w:val="10"/>
          <w:sz w:val="32"/>
          <w:szCs w:val="32"/>
        </w:rPr>
        <w:t>年新增地方政府债务限额</w:t>
      </w:r>
      <w:r>
        <w:rPr>
          <w:rFonts w:hint="default" w:ascii="Times New Roman" w:hAnsi="Times New Roman" w:eastAsia="仿宋_GB2312" w:cs="Times New Roman"/>
          <w:spacing w:val="10"/>
          <w:sz w:val="32"/>
          <w:szCs w:val="32"/>
          <w:lang w:val="en-US" w:eastAsia="zh-CN"/>
        </w:rPr>
        <w:t>32,070</w:t>
      </w:r>
      <w:r>
        <w:rPr>
          <w:rFonts w:hint="default" w:ascii="Times New Roman" w:hAnsi="Times New Roman" w:eastAsia="仿宋_GB2312" w:cs="Times New Roman"/>
          <w:spacing w:val="10"/>
          <w:sz w:val="32"/>
          <w:szCs w:val="32"/>
        </w:rPr>
        <w:t>万元，其中：一般债务限额</w:t>
      </w:r>
      <w:r>
        <w:rPr>
          <w:rFonts w:hint="default" w:ascii="Times New Roman" w:hAnsi="Times New Roman" w:eastAsia="仿宋_GB2312" w:cs="Times New Roman"/>
          <w:spacing w:val="10"/>
          <w:sz w:val="32"/>
          <w:szCs w:val="32"/>
          <w:lang w:val="en-US" w:eastAsia="zh-CN"/>
        </w:rPr>
        <w:t xml:space="preserve"> 11,270</w:t>
      </w:r>
      <w:r>
        <w:rPr>
          <w:rFonts w:hint="default" w:ascii="Times New Roman" w:hAnsi="Times New Roman" w:eastAsia="仿宋_GB2312" w:cs="Times New Roman"/>
          <w:spacing w:val="10"/>
          <w:sz w:val="32"/>
          <w:szCs w:val="32"/>
        </w:rPr>
        <w:t>万元，专项债务限额</w:t>
      </w:r>
      <w:r>
        <w:rPr>
          <w:rFonts w:hint="default" w:ascii="Times New Roman" w:hAnsi="Times New Roman" w:eastAsia="仿宋_GB2312" w:cs="Times New Roman"/>
          <w:spacing w:val="10"/>
          <w:sz w:val="32"/>
          <w:szCs w:val="32"/>
          <w:lang w:val="en-US" w:eastAsia="zh-CN"/>
        </w:rPr>
        <w:t>20,800</w:t>
      </w:r>
      <w:r>
        <w:rPr>
          <w:rFonts w:hint="default" w:ascii="Times New Roman" w:hAnsi="Times New Roman" w:eastAsia="仿宋_GB2312" w:cs="Times New Roman"/>
          <w:spacing w:val="10"/>
          <w:sz w:val="32"/>
          <w:szCs w:val="32"/>
        </w:rPr>
        <w:t>万元。</w:t>
      </w:r>
    </w:p>
    <w:p w14:paraId="4868ED24">
      <w:pPr>
        <w:keepNext w:val="0"/>
        <w:keepLines w:val="0"/>
        <w:pageBreakBefore w:val="0"/>
        <w:widowControl w:val="0"/>
        <w:kinsoku/>
        <w:wordWrap/>
        <w:overflowPunct/>
        <w:topLinePunct w:val="0"/>
        <w:autoSpaceDE/>
        <w:autoSpaceDN/>
        <w:bidi w:val="0"/>
        <w:adjustRightInd/>
        <w:snapToGrid/>
        <w:ind w:firstLine="683" w:firstLineChars="200"/>
        <w:textAlignment w:val="auto"/>
        <w:rPr>
          <w:rFonts w:hint="default" w:ascii="Times New Roman" w:hAnsi="Times New Roman" w:eastAsia="仿宋_GB2312" w:cs="Times New Roman"/>
          <w:spacing w:val="10"/>
          <w:sz w:val="32"/>
          <w:szCs w:val="32"/>
          <w:lang w:val="en-US" w:eastAsia="zh-CN"/>
        </w:rPr>
      </w:pPr>
      <w:r>
        <w:rPr>
          <w:rFonts w:hint="default" w:ascii="Times New Roman" w:hAnsi="Times New Roman" w:eastAsia="仿宋_GB2312" w:cs="Times New Roman"/>
          <w:b/>
          <w:bCs/>
          <w:spacing w:val="10"/>
          <w:sz w:val="32"/>
          <w:szCs w:val="32"/>
          <w:lang w:val="en-US" w:eastAsia="zh-CN"/>
        </w:rPr>
        <w:t>2、</w:t>
      </w:r>
      <w:r>
        <w:rPr>
          <w:rFonts w:hint="default" w:ascii="Times New Roman" w:hAnsi="Times New Roman" w:eastAsia="仿宋_GB2312" w:cs="Times New Roman"/>
          <w:b/>
          <w:bCs/>
          <w:spacing w:val="10"/>
          <w:sz w:val="32"/>
          <w:szCs w:val="32"/>
        </w:rPr>
        <w:t>新增政府债务资金安排。</w:t>
      </w:r>
      <w:r>
        <w:rPr>
          <w:rFonts w:hint="default" w:ascii="Times New Roman" w:hAnsi="Times New Roman" w:eastAsia="仿宋_GB2312" w:cs="Times New Roman"/>
          <w:spacing w:val="10"/>
          <w:sz w:val="32"/>
          <w:szCs w:val="32"/>
        </w:rPr>
        <w:t>洮南市202</w:t>
      </w:r>
      <w:r>
        <w:rPr>
          <w:rFonts w:hint="default" w:ascii="Times New Roman" w:hAnsi="Times New Roman" w:eastAsia="仿宋_GB2312" w:cs="Times New Roman"/>
          <w:spacing w:val="10"/>
          <w:sz w:val="32"/>
          <w:szCs w:val="32"/>
          <w:lang w:val="en-US" w:eastAsia="zh-CN"/>
        </w:rPr>
        <w:t>4</w:t>
      </w:r>
      <w:r>
        <w:rPr>
          <w:rFonts w:hint="default" w:ascii="Times New Roman" w:hAnsi="Times New Roman" w:eastAsia="仿宋_GB2312" w:cs="Times New Roman"/>
          <w:spacing w:val="10"/>
          <w:sz w:val="32"/>
          <w:szCs w:val="32"/>
        </w:rPr>
        <w:t>年新增地方政府债务限额</w:t>
      </w:r>
      <w:r>
        <w:rPr>
          <w:rFonts w:hint="default" w:ascii="Times New Roman" w:hAnsi="Times New Roman" w:eastAsia="仿宋_GB2312" w:cs="Times New Roman"/>
          <w:spacing w:val="10"/>
          <w:sz w:val="32"/>
          <w:szCs w:val="32"/>
          <w:lang w:val="en-US" w:eastAsia="zh-CN"/>
        </w:rPr>
        <w:t xml:space="preserve"> 32,070</w:t>
      </w:r>
      <w:r>
        <w:rPr>
          <w:rFonts w:hint="default" w:ascii="Times New Roman" w:hAnsi="Times New Roman" w:eastAsia="仿宋_GB2312" w:cs="Times New Roman"/>
          <w:spacing w:val="10"/>
          <w:sz w:val="32"/>
          <w:szCs w:val="32"/>
        </w:rPr>
        <w:t>万元，债券资金项目</w:t>
      </w:r>
      <w:r>
        <w:rPr>
          <w:rFonts w:hint="default" w:ascii="Times New Roman" w:hAnsi="Times New Roman" w:eastAsia="仿宋_GB2312" w:cs="Times New Roman"/>
          <w:spacing w:val="10"/>
          <w:sz w:val="32"/>
          <w:szCs w:val="32"/>
          <w:lang w:val="en-US" w:eastAsia="zh-CN"/>
        </w:rPr>
        <w:t>已</w:t>
      </w:r>
      <w:r>
        <w:rPr>
          <w:rFonts w:hint="default" w:ascii="Times New Roman" w:hAnsi="Times New Roman" w:eastAsia="仿宋_GB2312" w:cs="Times New Roman"/>
          <w:spacing w:val="10"/>
          <w:sz w:val="32"/>
          <w:szCs w:val="32"/>
        </w:rPr>
        <w:t>通过省政府审核批准，具体使用方向为：胡力吐蒙古族乡新起村百村示范建设项目</w:t>
      </w:r>
      <w:r>
        <w:rPr>
          <w:rFonts w:hint="default" w:ascii="Times New Roman" w:hAnsi="Times New Roman" w:eastAsia="仿宋_GB2312" w:cs="Times New Roman"/>
          <w:spacing w:val="10"/>
          <w:sz w:val="32"/>
          <w:szCs w:val="32"/>
          <w:lang w:val="en-US" w:eastAsia="zh-CN"/>
        </w:rPr>
        <w:t>990万元、车力乡立业村百村示范建设项目980万元、农村公路畅返不畅工程1，800万元、泰府小区维修改造项目800万元、洮南市2022年第一批保障性安居工程（棚户区改造）配套基础设施建设项目2，000万元、洮南市2022年第一批保障性安居工程（老旧小区改造）配套基础设施建设项目500万元、2020年洮南市老旧小区改造配套基础设施项目2，100万元、洮南市2021年第一批老旧小区改造配套基础设施建设项目800万元、洮南市群昌水库至河口段治理工程项目1，300万元、洮南市人民医院异址新建项目18，000万元、洮南市二龙苇场土地综合整治项目2，800万元。</w:t>
      </w:r>
    </w:p>
    <w:p w14:paraId="635D7FE7">
      <w:pPr>
        <w:keepNext w:val="0"/>
        <w:keepLines w:val="0"/>
        <w:pageBreakBefore w:val="0"/>
        <w:widowControl w:val="0"/>
        <w:kinsoku/>
        <w:wordWrap/>
        <w:overflowPunct/>
        <w:topLinePunct w:val="0"/>
        <w:autoSpaceDE/>
        <w:autoSpaceDN/>
        <w:bidi w:val="0"/>
        <w:adjustRightInd/>
        <w:snapToGrid/>
        <w:ind w:firstLine="680" w:firstLineChars="200"/>
        <w:textAlignment w:val="auto"/>
        <w:rPr>
          <w:rFonts w:hint="default" w:ascii="Times New Roman" w:hAnsi="Times New Roman" w:eastAsia="楷体_GB2312" w:cs="Times New Roman"/>
          <w:spacing w:val="10"/>
          <w:sz w:val="32"/>
          <w:szCs w:val="32"/>
        </w:rPr>
      </w:pPr>
      <w:r>
        <w:rPr>
          <w:rFonts w:hint="default" w:ascii="Times New Roman" w:hAnsi="Times New Roman" w:eastAsia="楷体_GB2312" w:cs="Times New Roman"/>
          <w:spacing w:val="10"/>
          <w:sz w:val="32"/>
          <w:szCs w:val="32"/>
        </w:rPr>
        <w:t>（二）预算总支出变动</w:t>
      </w:r>
    </w:p>
    <w:p w14:paraId="6CE926AE">
      <w:pPr>
        <w:keepNext w:val="0"/>
        <w:keepLines w:val="0"/>
        <w:pageBreakBefore w:val="0"/>
        <w:widowControl w:val="0"/>
        <w:kinsoku/>
        <w:wordWrap/>
        <w:overflowPunct/>
        <w:topLinePunct w:val="0"/>
        <w:autoSpaceDE/>
        <w:autoSpaceDN/>
        <w:bidi w:val="0"/>
        <w:adjustRightInd/>
        <w:snapToGrid/>
        <w:ind w:firstLine="680" w:firstLineChars="200"/>
        <w:textAlignment w:val="auto"/>
        <w:rPr>
          <w:rFonts w:hint="default" w:ascii="Times New Roman" w:hAnsi="Times New Roman" w:eastAsia="仿宋_GB2312" w:cs="Times New Roman"/>
          <w:spacing w:val="10"/>
          <w:sz w:val="32"/>
          <w:szCs w:val="32"/>
        </w:rPr>
      </w:pPr>
      <w:r>
        <w:rPr>
          <w:rFonts w:hint="default" w:ascii="Times New Roman" w:hAnsi="Times New Roman" w:eastAsia="仿宋_GB2312" w:cs="Times New Roman"/>
          <w:spacing w:val="10"/>
          <w:sz w:val="32"/>
          <w:szCs w:val="32"/>
        </w:rPr>
        <w:t>发行新增政府债券，需要增加预算总支出。我市全力组织收入，大力推进国有资源（资产）盘活，全年一般公共预算收入预计增加</w:t>
      </w:r>
      <w:r>
        <w:rPr>
          <w:rFonts w:hint="default" w:ascii="Times New Roman" w:hAnsi="Times New Roman" w:eastAsia="仿宋_GB2312" w:cs="Times New Roman"/>
          <w:spacing w:val="10"/>
          <w:sz w:val="32"/>
          <w:szCs w:val="32"/>
          <w:lang w:val="en-US" w:eastAsia="zh-CN"/>
        </w:rPr>
        <w:t>10，000</w:t>
      </w:r>
      <w:r>
        <w:rPr>
          <w:rFonts w:hint="default" w:ascii="Times New Roman" w:hAnsi="Times New Roman" w:eastAsia="仿宋_GB2312" w:cs="Times New Roman"/>
          <w:spacing w:val="10"/>
          <w:sz w:val="32"/>
          <w:szCs w:val="32"/>
        </w:rPr>
        <w:t>万元</w:t>
      </w:r>
      <w:r>
        <w:rPr>
          <w:rFonts w:hint="default" w:ascii="Times New Roman" w:hAnsi="Times New Roman" w:eastAsia="仿宋_GB2312" w:cs="Times New Roman"/>
          <w:spacing w:val="10"/>
          <w:sz w:val="32"/>
          <w:szCs w:val="32"/>
          <w:lang w:eastAsia="zh-CN"/>
        </w:rPr>
        <w:t>，</w:t>
      </w:r>
      <w:r>
        <w:rPr>
          <w:rFonts w:hint="default" w:ascii="Times New Roman" w:hAnsi="Times New Roman" w:eastAsia="仿宋_GB2312" w:cs="Times New Roman"/>
          <w:spacing w:val="10"/>
          <w:sz w:val="32"/>
          <w:szCs w:val="32"/>
          <w:lang w:val="en-US" w:eastAsia="zh-CN"/>
        </w:rPr>
        <w:t>预计完成45，000万元</w:t>
      </w:r>
      <w:r>
        <w:rPr>
          <w:rFonts w:hint="default" w:ascii="Times New Roman" w:hAnsi="Times New Roman" w:eastAsia="仿宋_GB2312" w:cs="Times New Roman"/>
          <w:spacing w:val="10"/>
          <w:sz w:val="32"/>
          <w:szCs w:val="32"/>
        </w:rPr>
        <w:t>。增加政府性基金收入</w:t>
      </w:r>
      <w:r>
        <w:rPr>
          <w:rFonts w:hint="default" w:ascii="Times New Roman" w:hAnsi="Times New Roman" w:eastAsia="仿宋_GB2312" w:cs="Times New Roman"/>
          <w:spacing w:val="10"/>
          <w:sz w:val="32"/>
          <w:szCs w:val="32"/>
          <w:lang w:val="en-US" w:eastAsia="zh-CN"/>
        </w:rPr>
        <w:t>5，000</w:t>
      </w:r>
      <w:r>
        <w:rPr>
          <w:rFonts w:hint="default" w:ascii="Times New Roman" w:hAnsi="Times New Roman" w:eastAsia="仿宋_GB2312" w:cs="Times New Roman"/>
          <w:spacing w:val="10"/>
          <w:sz w:val="32"/>
          <w:szCs w:val="32"/>
        </w:rPr>
        <w:t>万元</w:t>
      </w:r>
      <w:r>
        <w:rPr>
          <w:rFonts w:hint="default" w:ascii="Times New Roman" w:hAnsi="Times New Roman" w:eastAsia="仿宋_GB2312" w:cs="Times New Roman"/>
          <w:spacing w:val="10"/>
          <w:sz w:val="32"/>
          <w:szCs w:val="32"/>
          <w:lang w:eastAsia="zh-CN"/>
        </w:rPr>
        <w:t>，</w:t>
      </w:r>
      <w:r>
        <w:rPr>
          <w:rFonts w:hint="default" w:ascii="Times New Roman" w:hAnsi="Times New Roman" w:eastAsia="仿宋_GB2312" w:cs="Times New Roman"/>
          <w:spacing w:val="10"/>
          <w:sz w:val="32"/>
          <w:szCs w:val="32"/>
          <w:lang w:val="en-US" w:eastAsia="zh-CN"/>
        </w:rPr>
        <w:t>预计完成18，000万元</w:t>
      </w:r>
      <w:r>
        <w:rPr>
          <w:rFonts w:hint="default" w:ascii="Times New Roman" w:hAnsi="Times New Roman" w:eastAsia="仿宋_GB2312" w:cs="Times New Roman"/>
          <w:spacing w:val="10"/>
          <w:sz w:val="32"/>
          <w:szCs w:val="32"/>
        </w:rPr>
        <w:t>。由于一般公共预算收入、政府性基金收入均较年初预算增加，需对两本预算年初收入进行调整，同步对支出总预算进行调整。</w:t>
      </w:r>
    </w:p>
    <w:p w14:paraId="25211839">
      <w:pPr>
        <w:keepNext w:val="0"/>
        <w:keepLines w:val="0"/>
        <w:pageBreakBefore w:val="0"/>
        <w:widowControl w:val="0"/>
        <w:kinsoku/>
        <w:wordWrap/>
        <w:overflowPunct/>
        <w:topLinePunct w:val="0"/>
        <w:autoSpaceDE/>
        <w:autoSpaceDN/>
        <w:bidi w:val="0"/>
        <w:adjustRightInd/>
        <w:snapToGrid/>
        <w:ind w:firstLine="680" w:firstLineChars="200"/>
        <w:textAlignment w:val="auto"/>
        <w:rPr>
          <w:rFonts w:hint="default" w:ascii="Times New Roman" w:hAnsi="Times New Roman" w:eastAsia="黑体" w:cs="Times New Roman"/>
          <w:spacing w:val="10"/>
          <w:sz w:val="32"/>
          <w:szCs w:val="32"/>
        </w:rPr>
      </w:pPr>
      <w:r>
        <w:rPr>
          <w:rFonts w:hint="default" w:ascii="Times New Roman" w:hAnsi="Times New Roman" w:eastAsia="黑体" w:cs="Times New Roman"/>
          <w:spacing w:val="10"/>
          <w:sz w:val="32"/>
          <w:szCs w:val="32"/>
        </w:rPr>
        <w:t>二、2024年预算调整方案</w:t>
      </w:r>
    </w:p>
    <w:p w14:paraId="39A68F6A">
      <w:pPr>
        <w:keepNext w:val="0"/>
        <w:keepLines w:val="0"/>
        <w:pageBreakBefore w:val="0"/>
        <w:widowControl w:val="0"/>
        <w:kinsoku/>
        <w:wordWrap/>
        <w:overflowPunct/>
        <w:topLinePunct w:val="0"/>
        <w:autoSpaceDE/>
        <w:autoSpaceDN/>
        <w:bidi w:val="0"/>
        <w:adjustRightInd/>
        <w:snapToGrid/>
        <w:ind w:firstLine="680" w:firstLineChars="200"/>
        <w:textAlignment w:val="auto"/>
        <w:rPr>
          <w:rFonts w:hint="default" w:ascii="Times New Roman" w:hAnsi="Times New Roman" w:eastAsia="仿宋_GB2312" w:cs="Times New Roman"/>
          <w:spacing w:val="10"/>
          <w:sz w:val="32"/>
          <w:szCs w:val="32"/>
        </w:rPr>
      </w:pPr>
      <w:r>
        <w:rPr>
          <w:rFonts w:hint="default" w:ascii="Times New Roman" w:hAnsi="Times New Roman" w:eastAsia="仿宋_GB2312" w:cs="Times New Roman"/>
          <w:spacing w:val="10"/>
          <w:sz w:val="32"/>
          <w:szCs w:val="32"/>
        </w:rPr>
        <w:t>根据《中华人民共和国预算法》第六十七条“经全国人民代表大会批准的中央预算和经地方各级人民代表大会批准的地方各级预算，在执行中出现下列情况之一的，应当进行预算调整”，按照第一款“需要增加或者减少预算总支出的”、第四款“需要增加举借债务限额的”有关规定，拟对2024年一般公共预算和政府性基金预算分别进行调整。</w:t>
      </w:r>
    </w:p>
    <w:p w14:paraId="3C3B2556">
      <w:pPr>
        <w:keepNext w:val="0"/>
        <w:keepLines w:val="0"/>
        <w:pageBreakBefore w:val="0"/>
        <w:widowControl w:val="0"/>
        <w:kinsoku/>
        <w:wordWrap/>
        <w:overflowPunct/>
        <w:topLinePunct w:val="0"/>
        <w:autoSpaceDE/>
        <w:autoSpaceDN/>
        <w:bidi w:val="0"/>
        <w:adjustRightInd/>
        <w:snapToGrid/>
        <w:ind w:firstLine="680" w:firstLineChars="200"/>
        <w:textAlignment w:val="auto"/>
        <w:rPr>
          <w:rFonts w:hint="default" w:ascii="Times New Roman" w:hAnsi="Times New Roman" w:eastAsia="仿宋_GB2312" w:cs="Times New Roman"/>
          <w:spacing w:val="10"/>
          <w:sz w:val="32"/>
          <w:szCs w:val="32"/>
        </w:rPr>
      </w:pPr>
      <w:r>
        <w:rPr>
          <w:rFonts w:hint="default" w:ascii="Times New Roman" w:hAnsi="Times New Roman" w:eastAsia="楷体_GB2312" w:cs="Times New Roman"/>
          <w:spacing w:val="10"/>
          <w:sz w:val="32"/>
          <w:szCs w:val="32"/>
        </w:rPr>
        <w:t>（一）一般公共预算。</w:t>
      </w:r>
      <w:r>
        <w:rPr>
          <w:rFonts w:hint="default" w:ascii="Times New Roman" w:hAnsi="Times New Roman" w:eastAsia="仿宋_GB2312" w:cs="Times New Roman"/>
          <w:spacing w:val="10"/>
          <w:sz w:val="32"/>
          <w:szCs w:val="32"/>
        </w:rPr>
        <w:t>2024年预算草案报告中财政收入总计为</w:t>
      </w:r>
      <w:r>
        <w:rPr>
          <w:rFonts w:hint="default" w:ascii="Times New Roman" w:hAnsi="Times New Roman" w:eastAsia="仿宋_GB2312" w:cs="Times New Roman"/>
          <w:spacing w:val="10"/>
          <w:sz w:val="32"/>
          <w:szCs w:val="32"/>
          <w:lang w:val="en-US" w:eastAsia="zh-CN"/>
        </w:rPr>
        <w:t>360，000万</w:t>
      </w:r>
      <w:r>
        <w:rPr>
          <w:rFonts w:hint="default" w:ascii="Times New Roman" w:hAnsi="Times New Roman" w:eastAsia="仿宋_GB2312" w:cs="Times New Roman"/>
          <w:spacing w:val="10"/>
          <w:sz w:val="32"/>
          <w:szCs w:val="32"/>
        </w:rPr>
        <w:t>元，</w:t>
      </w:r>
      <w:r>
        <w:rPr>
          <w:rFonts w:hint="default" w:ascii="Times New Roman" w:hAnsi="Times New Roman" w:eastAsia="仿宋_GB2312" w:cs="Times New Roman"/>
          <w:spacing w:val="10"/>
          <w:sz w:val="32"/>
          <w:szCs w:val="32"/>
          <w:lang w:val="en-US" w:eastAsia="zh-CN"/>
        </w:rPr>
        <w:t>调整增加调入资金10，500万元，</w:t>
      </w:r>
      <w:r>
        <w:rPr>
          <w:rFonts w:hint="default" w:ascii="Times New Roman" w:hAnsi="Times New Roman" w:eastAsia="仿宋_GB2312" w:cs="Times New Roman"/>
          <w:spacing w:val="10"/>
          <w:sz w:val="32"/>
          <w:szCs w:val="32"/>
        </w:rPr>
        <w:t>一般公共预算收入、转移性</w:t>
      </w:r>
      <w:r>
        <w:rPr>
          <w:rFonts w:hint="default" w:ascii="Times New Roman" w:hAnsi="Times New Roman" w:eastAsia="仿宋_GB2312" w:cs="Times New Roman"/>
          <w:spacing w:val="10"/>
          <w:sz w:val="32"/>
          <w:szCs w:val="32"/>
          <w:lang w:val="en-US" w:eastAsia="zh-CN"/>
        </w:rPr>
        <w:t>收入</w:t>
      </w:r>
      <w:r>
        <w:rPr>
          <w:rFonts w:hint="default" w:ascii="Times New Roman" w:hAnsi="Times New Roman" w:eastAsia="仿宋_GB2312" w:cs="Times New Roman"/>
          <w:spacing w:val="10"/>
          <w:sz w:val="32"/>
          <w:szCs w:val="32"/>
        </w:rPr>
        <w:t>及</w:t>
      </w:r>
      <w:r>
        <w:rPr>
          <w:rFonts w:hint="default" w:ascii="Times New Roman" w:hAnsi="Times New Roman" w:eastAsia="仿宋_GB2312" w:cs="Times New Roman"/>
          <w:spacing w:val="10"/>
          <w:sz w:val="32"/>
          <w:szCs w:val="32"/>
          <w:lang w:val="en-US" w:eastAsia="zh-CN"/>
        </w:rPr>
        <w:t>政府债券</w:t>
      </w:r>
      <w:r>
        <w:rPr>
          <w:rFonts w:hint="default" w:ascii="Times New Roman" w:hAnsi="Times New Roman" w:eastAsia="仿宋_GB2312" w:cs="Times New Roman"/>
          <w:spacing w:val="10"/>
          <w:sz w:val="32"/>
          <w:szCs w:val="32"/>
        </w:rPr>
        <w:t>收入增加</w:t>
      </w:r>
      <w:r>
        <w:rPr>
          <w:rFonts w:hint="default" w:ascii="Times New Roman" w:hAnsi="Times New Roman" w:eastAsia="仿宋_GB2312" w:cs="Times New Roman"/>
          <w:spacing w:val="10"/>
          <w:sz w:val="32"/>
          <w:szCs w:val="32"/>
          <w:lang w:val="en-US" w:eastAsia="zh-CN"/>
        </w:rPr>
        <w:t>36，500万</w:t>
      </w:r>
      <w:r>
        <w:rPr>
          <w:rFonts w:hint="default" w:ascii="Times New Roman" w:hAnsi="Times New Roman" w:eastAsia="仿宋_GB2312" w:cs="Times New Roman"/>
          <w:spacing w:val="10"/>
          <w:sz w:val="32"/>
          <w:szCs w:val="32"/>
        </w:rPr>
        <w:t>元，2024年财政收入总计预算数调整为</w:t>
      </w:r>
      <w:r>
        <w:rPr>
          <w:rFonts w:hint="default" w:ascii="Times New Roman" w:hAnsi="Times New Roman" w:eastAsia="仿宋_GB2312" w:cs="Times New Roman"/>
          <w:spacing w:val="10"/>
          <w:sz w:val="32"/>
          <w:szCs w:val="32"/>
          <w:lang w:val="en-US" w:eastAsia="zh-CN"/>
        </w:rPr>
        <w:t>407，000万</w:t>
      </w:r>
      <w:r>
        <w:rPr>
          <w:rFonts w:hint="default" w:ascii="Times New Roman" w:hAnsi="Times New Roman" w:eastAsia="仿宋_GB2312" w:cs="Times New Roman"/>
          <w:spacing w:val="10"/>
          <w:sz w:val="32"/>
          <w:szCs w:val="32"/>
        </w:rPr>
        <w:t>元，相应将2024年财政支出总计调整为</w:t>
      </w:r>
      <w:r>
        <w:rPr>
          <w:rFonts w:hint="default" w:ascii="Times New Roman" w:hAnsi="Times New Roman" w:eastAsia="仿宋_GB2312" w:cs="Times New Roman"/>
          <w:spacing w:val="10"/>
          <w:sz w:val="32"/>
          <w:szCs w:val="32"/>
          <w:lang w:val="en-US" w:eastAsia="zh-CN"/>
        </w:rPr>
        <w:t>407，000万</w:t>
      </w:r>
      <w:r>
        <w:rPr>
          <w:rFonts w:hint="default" w:ascii="Times New Roman" w:hAnsi="Times New Roman" w:eastAsia="仿宋_GB2312" w:cs="Times New Roman"/>
          <w:spacing w:val="10"/>
          <w:sz w:val="32"/>
          <w:szCs w:val="32"/>
        </w:rPr>
        <w:t>元。</w:t>
      </w:r>
    </w:p>
    <w:p w14:paraId="03C736E6">
      <w:pPr>
        <w:keepNext w:val="0"/>
        <w:keepLines w:val="0"/>
        <w:pageBreakBefore w:val="0"/>
        <w:widowControl w:val="0"/>
        <w:kinsoku/>
        <w:wordWrap/>
        <w:overflowPunct/>
        <w:topLinePunct w:val="0"/>
        <w:autoSpaceDE/>
        <w:autoSpaceDN/>
        <w:bidi w:val="0"/>
        <w:adjustRightInd/>
        <w:snapToGrid/>
        <w:ind w:firstLine="680" w:firstLineChars="200"/>
        <w:textAlignment w:val="auto"/>
        <w:rPr>
          <w:rFonts w:hint="default" w:ascii="Times New Roman" w:hAnsi="Times New Roman" w:eastAsia="仿宋_GB2312" w:cs="Times New Roman"/>
          <w:spacing w:val="10"/>
          <w:sz w:val="32"/>
          <w:szCs w:val="32"/>
        </w:rPr>
      </w:pPr>
      <w:r>
        <w:rPr>
          <w:rFonts w:hint="default" w:ascii="Times New Roman" w:hAnsi="Times New Roman" w:eastAsia="楷体_GB2312" w:cs="Times New Roman"/>
          <w:spacing w:val="10"/>
          <w:sz w:val="32"/>
          <w:szCs w:val="32"/>
        </w:rPr>
        <w:t>（二）政府性基金预算。</w:t>
      </w:r>
      <w:r>
        <w:rPr>
          <w:rFonts w:hint="default" w:ascii="Times New Roman" w:hAnsi="Times New Roman" w:eastAsia="仿宋_GB2312" w:cs="Times New Roman"/>
          <w:spacing w:val="10"/>
          <w:sz w:val="32"/>
          <w:szCs w:val="32"/>
        </w:rPr>
        <w:t>2024年预算草案报告中政府性基金收入总计为</w:t>
      </w:r>
      <w:r>
        <w:rPr>
          <w:rFonts w:hint="default" w:ascii="Times New Roman" w:hAnsi="Times New Roman" w:eastAsia="仿宋_GB2312" w:cs="Times New Roman"/>
          <w:spacing w:val="10"/>
          <w:sz w:val="32"/>
          <w:szCs w:val="32"/>
          <w:lang w:val="en-US" w:eastAsia="zh-CN"/>
        </w:rPr>
        <w:t>15，474万</w:t>
      </w:r>
      <w:r>
        <w:rPr>
          <w:rFonts w:hint="default" w:ascii="Times New Roman" w:hAnsi="Times New Roman" w:eastAsia="仿宋_GB2312" w:cs="Times New Roman"/>
          <w:spacing w:val="10"/>
          <w:sz w:val="32"/>
          <w:szCs w:val="32"/>
        </w:rPr>
        <w:t>元，</w:t>
      </w:r>
      <w:r>
        <w:rPr>
          <w:rFonts w:hint="default" w:ascii="Times New Roman" w:hAnsi="Times New Roman" w:eastAsia="仿宋_GB2312" w:cs="Times New Roman"/>
          <w:spacing w:val="10"/>
          <w:sz w:val="32"/>
          <w:szCs w:val="32"/>
          <w:lang w:val="en-US" w:eastAsia="zh-CN"/>
        </w:rPr>
        <w:t>调整增加调入资金2，500万元，</w:t>
      </w:r>
      <w:r>
        <w:rPr>
          <w:rFonts w:hint="default" w:ascii="Times New Roman" w:hAnsi="Times New Roman" w:eastAsia="仿宋_GB2312" w:cs="Times New Roman"/>
          <w:spacing w:val="10"/>
          <w:sz w:val="32"/>
          <w:szCs w:val="32"/>
        </w:rPr>
        <w:t>政府性基金收入</w:t>
      </w:r>
      <w:r>
        <w:rPr>
          <w:rFonts w:hint="default" w:ascii="Times New Roman" w:hAnsi="Times New Roman" w:eastAsia="仿宋_GB2312" w:cs="Times New Roman"/>
          <w:spacing w:val="10"/>
          <w:sz w:val="32"/>
          <w:szCs w:val="32"/>
          <w:lang w:eastAsia="zh-CN"/>
        </w:rPr>
        <w:t>、</w:t>
      </w:r>
      <w:r>
        <w:rPr>
          <w:rFonts w:hint="default" w:ascii="Times New Roman" w:hAnsi="Times New Roman" w:eastAsia="仿宋_GB2312" w:cs="Times New Roman"/>
          <w:spacing w:val="10"/>
          <w:sz w:val="32"/>
          <w:szCs w:val="32"/>
        </w:rPr>
        <w:t>转移性</w:t>
      </w:r>
      <w:r>
        <w:rPr>
          <w:rFonts w:hint="default" w:ascii="Times New Roman" w:hAnsi="Times New Roman" w:eastAsia="仿宋_GB2312" w:cs="Times New Roman"/>
          <w:spacing w:val="10"/>
          <w:sz w:val="32"/>
          <w:szCs w:val="32"/>
          <w:lang w:val="en-US" w:eastAsia="zh-CN"/>
        </w:rPr>
        <w:t>收入</w:t>
      </w:r>
      <w:r>
        <w:rPr>
          <w:rFonts w:hint="default" w:ascii="Times New Roman" w:hAnsi="Times New Roman" w:eastAsia="仿宋_GB2312" w:cs="Times New Roman"/>
          <w:spacing w:val="10"/>
          <w:sz w:val="32"/>
          <w:szCs w:val="32"/>
        </w:rPr>
        <w:t>及</w:t>
      </w:r>
      <w:r>
        <w:rPr>
          <w:rFonts w:hint="default" w:ascii="Times New Roman" w:hAnsi="Times New Roman" w:eastAsia="仿宋_GB2312" w:cs="Times New Roman"/>
          <w:spacing w:val="10"/>
          <w:sz w:val="32"/>
          <w:szCs w:val="32"/>
          <w:lang w:val="en-US" w:eastAsia="zh-CN"/>
        </w:rPr>
        <w:t>政府债券</w:t>
      </w:r>
      <w:r>
        <w:rPr>
          <w:rFonts w:hint="default" w:ascii="Times New Roman" w:hAnsi="Times New Roman" w:eastAsia="仿宋_GB2312" w:cs="Times New Roman"/>
          <w:spacing w:val="10"/>
          <w:sz w:val="32"/>
          <w:szCs w:val="32"/>
        </w:rPr>
        <w:t>收入增加</w:t>
      </w:r>
      <w:r>
        <w:rPr>
          <w:rFonts w:hint="default" w:ascii="Times New Roman" w:hAnsi="Times New Roman" w:eastAsia="仿宋_GB2312" w:cs="Times New Roman"/>
          <w:spacing w:val="10"/>
          <w:sz w:val="32"/>
          <w:szCs w:val="32"/>
          <w:lang w:val="en-US" w:eastAsia="zh-CN"/>
        </w:rPr>
        <w:t>50，326万元。</w:t>
      </w:r>
      <w:r>
        <w:rPr>
          <w:rFonts w:hint="default" w:ascii="Times New Roman" w:hAnsi="Times New Roman" w:eastAsia="仿宋_GB2312" w:cs="Times New Roman"/>
          <w:spacing w:val="10"/>
          <w:sz w:val="32"/>
          <w:szCs w:val="32"/>
        </w:rPr>
        <w:t>2024年政府性基金收入总计预算数调整为</w:t>
      </w:r>
      <w:r>
        <w:rPr>
          <w:rFonts w:hint="default" w:ascii="Times New Roman" w:hAnsi="Times New Roman" w:eastAsia="仿宋_GB2312" w:cs="Times New Roman"/>
          <w:spacing w:val="10"/>
          <w:sz w:val="32"/>
          <w:szCs w:val="32"/>
          <w:lang w:val="en-US" w:eastAsia="zh-CN"/>
        </w:rPr>
        <w:t>68，300万</w:t>
      </w:r>
      <w:r>
        <w:rPr>
          <w:rFonts w:hint="default" w:ascii="Times New Roman" w:hAnsi="Times New Roman" w:eastAsia="仿宋_GB2312" w:cs="Times New Roman"/>
          <w:spacing w:val="10"/>
          <w:sz w:val="32"/>
          <w:szCs w:val="32"/>
        </w:rPr>
        <w:t>元，相应将2024年政府性基金支出总计调整为</w:t>
      </w:r>
      <w:r>
        <w:rPr>
          <w:rFonts w:hint="default" w:ascii="Times New Roman" w:hAnsi="Times New Roman" w:eastAsia="仿宋_GB2312" w:cs="Times New Roman"/>
          <w:spacing w:val="10"/>
          <w:sz w:val="32"/>
          <w:szCs w:val="32"/>
          <w:lang w:val="en-US" w:eastAsia="zh-CN"/>
        </w:rPr>
        <w:t>68，300万</w:t>
      </w:r>
      <w:r>
        <w:rPr>
          <w:rFonts w:hint="default" w:ascii="Times New Roman" w:hAnsi="Times New Roman" w:eastAsia="仿宋_GB2312" w:cs="Times New Roman"/>
          <w:spacing w:val="10"/>
          <w:sz w:val="32"/>
          <w:szCs w:val="32"/>
        </w:rPr>
        <w:t>元。</w:t>
      </w:r>
    </w:p>
    <w:sectPr>
      <w:headerReference r:id="rId3" w:type="default"/>
      <w:footerReference r:id="rId4" w:type="default"/>
      <w:footerReference r:id="rId5" w:type="even"/>
      <w:pgSz w:w="11906" w:h="16838"/>
      <w:pgMar w:top="1701" w:right="1417" w:bottom="1701"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375F3">
    <w:pPr>
      <w:pStyle w:val="2"/>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A5F659">
                          <w:pPr>
                            <w:pStyle w:val="2"/>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r>
                            <w:rPr>
                              <w:rFonts w:hint="eastAsia" w:ascii="仿宋" w:hAnsi="仿宋" w:eastAsia="仿宋" w:cs="仿宋"/>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0A5F659">
                    <w:pPr>
                      <w:pStyle w:val="2"/>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r>
                      <w:rPr>
                        <w:rFonts w:hint="eastAsia" w:ascii="仿宋" w:hAnsi="仿宋" w:eastAsia="仿宋" w:cs="仿宋"/>
                        <w:sz w:val="28"/>
                        <w:szCs w:val="28"/>
                      </w:rPr>
                      <w:t xml:space="preserve"> —</w:t>
                    </w:r>
                  </w:p>
                </w:txbxContent>
              </v:textbox>
            </v:shape>
          </w:pict>
        </mc:Fallback>
      </mc:AlternateContent>
    </w:r>
  </w:p>
  <w:p w14:paraId="730F60E9">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FDEAB">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14:paraId="347E656E">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AA1D0">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YzA1MzQ3ZTA2YzA2ZWRlYzViZGQ0MGZjYTg5MWYifQ=="/>
  </w:docVars>
  <w:rsids>
    <w:rsidRoot w:val="21E87BC6"/>
    <w:rsid w:val="008E0AC6"/>
    <w:rsid w:val="00916B48"/>
    <w:rsid w:val="00961BFB"/>
    <w:rsid w:val="0C4D19CF"/>
    <w:rsid w:val="0C582764"/>
    <w:rsid w:val="120B2110"/>
    <w:rsid w:val="15F0695D"/>
    <w:rsid w:val="1CDD0291"/>
    <w:rsid w:val="1F1E6A8A"/>
    <w:rsid w:val="1F95570F"/>
    <w:rsid w:val="216F34E3"/>
    <w:rsid w:val="21E87BC6"/>
    <w:rsid w:val="2C3B13EC"/>
    <w:rsid w:val="33C57F19"/>
    <w:rsid w:val="35690D78"/>
    <w:rsid w:val="375B08E9"/>
    <w:rsid w:val="38BD1267"/>
    <w:rsid w:val="39137E32"/>
    <w:rsid w:val="3D2F28A7"/>
    <w:rsid w:val="405E31C4"/>
    <w:rsid w:val="4958768F"/>
    <w:rsid w:val="55D02A22"/>
    <w:rsid w:val="598D29D8"/>
    <w:rsid w:val="59AF285E"/>
    <w:rsid w:val="5D075946"/>
    <w:rsid w:val="6DDD47D5"/>
    <w:rsid w:val="759251A6"/>
    <w:rsid w:val="792E3438"/>
    <w:rsid w:val="7CEC1640"/>
    <w:rsid w:val="7E941F8F"/>
    <w:rsid w:val="F3CB5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1040</Words>
  <Characters>1180</Characters>
  <Lines>8</Lines>
  <Paragraphs>2</Paragraphs>
  <TotalTime>8</TotalTime>
  <ScaleCrop>false</ScaleCrop>
  <LinksUpToDate>false</LinksUpToDate>
  <CharactersWithSpaces>1184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2024-08-15T11:25:00Z</dcterms:created>
  <dc:creator>李想</dc:creator>
  <cp:lastModifiedBy>Administrator</cp:lastModifiedBy>
  <cp:lastPrinted>2024-12-09T11:45:00Z</cp:lastPrinted>
  <dcterms:modified xsi:type="dcterms:W3CDTF">2024-12-17T01:01:00Z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C29AB9FFBAFF43F9BB798413B02E07AB_13</vt:lpwstr>
  </property>
</Properties>
</file>