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DFB94">
      <w:pPr>
        <w:spacing w:line="578" w:lineRule="exact"/>
        <w:rPr>
          <w:rFonts w:eastAsia="仿宋_GB2312"/>
          <w:sz w:val="32"/>
          <w:szCs w:val="32"/>
        </w:rPr>
      </w:pPr>
      <w:bookmarkStart w:id="141" w:name="_GoBack"/>
      <w:bookmarkEnd w:id="141"/>
    </w:p>
    <w:p w14:paraId="442D06B4">
      <w:pPr>
        <w:spacing w:line="578" w:lineRule="exact"/>
        <w:rPr>
          <w:rFonts w:eastAsia="仿宋_GB2312"/>
          <w:sz w:val="32"/>
          <w:szCs w:val="32"/>
        </w:rPr>
      </w:pPr>
    </w:p>
    <w:p w14:paraId="4A3048D4">
      <w:pPr>
        <w:spacing w:line="578" w:lineRule="exact"/>
        <w:rPr>
          <w:rFonts w:eastAsia="仿宋_GB2312"/>
          <w:sz w:val="32"/>
          <w:szCs w:val="32"/>
        </w:rPr>
      </w:pPr>
    </w:p>
    <w:p w14:paraId="5C1FC96D">
      <w:pPr>
        <w:spacing w:line="578" w:lineRule="exact"/>
        <w:rPr>
          <w:rFonts w:eastAsia="仿宋_GB2312"/>
          <w:sz w:val="32"/>
          <w:szCs w:val="32"/>
        </w:rPr>
      </w:pPr>
    </w:p>
    <w:p w14:paraId="28D3EEFA">
      <w:pPr>
        <w:spacing w:line="578" w:lineRule="exact"/>
        <w:rPr>
          <w:rFonts w:eastAsia="仿宋_GB2312"/>
          <w:sz w:val="32"/>
          <w:szCs w:val="32"/>
        </w:rPr>
      </w:pPr>
    </w:p>
    <w:p w14:paraId="0A70368E">
      <w:pPr>
        <w:spacing w:line="578" w:lineRule="exact"/>
        <w:rPr>
          <w:rFonts w:eastAsia="仿宋_GB2312"/>
          <w:sz w:val="32"/>
          <w:szCs w:val="32"/>
        </w:rPr>
      </w:pPr>
    </w:p>
    <w:p w14:paraId="311C24A0">
      <w:pPr>
        <w:spacing w:line="578" w:lineRule="exact"/>
        <w:rPr>
          <w:rFonts w:eastAsia="仿宋_GB2312"/>
          <w:sz w:val="32"/>
          <w:szCs w:val="32"/>
        </w:rPr>
      </w:pPr>
    </w:p>
    <w:p w14:paraId="34A3485B">
      <w:pPr>
        <w:spacing w:line="578" w:lineRule="exact"/>
        <w:rPr>
          <w:rFonts w:eastAsia="仿宋_GB2312"/>
          <w:sz w:val="32"/>
          <w:szCs w:val="32"/>
        </w:rPr>
      </w:pPr>
    </w:p>
    <w:p w14:paraId="56BEF1E9">
      <w:pPr>
        <w:spacing w:line="578" w:lineRule="exact"/>
        <w:jc w:val="center"/>
        <w:rPr>
          <w:rFonts w:ascii="方正小标宋_GBK" w:eastAsia="方正小标宋_GBK"/>
          <w:sz w:val="44"/>
          <w:szCs w:val="44"/>
        </w:rPr>
      </w:pPr>
      <w:r>
        <w:rPr>
          <w:rFonts w:hint="eastAsia" w:ascii="方正小标宋_GBK" w:eastAsia="方正小标宋_GBK"/>
          <w:sz w:val="44"/>
          <w:szCs w:val="44"/>
        </w:rPr>
        <w:t>洮南市突发事件总体应急预案</w:t>
      </w:r>
    </w:p>
    <w:p w14:paraId="69176714">
      <w:pPr>
        <w:spacing w:line="578" w:lineRule="exact"/>
        <w:rPr>
          <w:rFonts w:eastAsia="仿宋_GB2312"/>
          <w:sz w:val="32"/>
          <w:szCs w:val="32"/>
        </w:rPr>
      </w:pPr>
    </w:p>
    <w:p w14:paraId="4B1A18EF">
      <w:pPr>
        <w:spacing w:line="578" w:lineRule="exact"/>
        <w:rPr>
          <w:rFonts w:eastAsia="仿宋_GB2312"/>
          <w:sz w:val="32"/>
          <w:szCs w:val="32"/>
        </w:rPr>
      </w:pPr>
    </w:p>
    <w:p w14:paraId="4D918B9B">
      <w:pPr>
        <w:spacing w:line="578" w:lineRule="exact"/>
        <w:rPr>
          <w:rFonts w:eastAsia="仿宋_GB2312"/>
          <w:sz w:val="32"/>
          <w:szCs w:val="32"/>
        </w:rPr>
      </w:pPr>
    </w:p>
    <w:p w14:paraId="2D0BD1DA">
      <w:pPr>
        <w:spacing w:line="578" w:lineRule="exact"/>
        <w:rPr>
          <w:rFonts w:eastAsia="仿宋_GB2312"/>
          <w:sz w:val="32"/>
          <w:szCs w:val="32"/>
        </w:rPr>
      </w:pPr>
    </w:p>
    <w:p w14:paraId="7F0E2740">
      <w:pPr>
        <w:spacing w:line="578" w:lineRule="exact"/>
        <w:rPr>
          <w:rFonts w:eastAsia="仿宋_GB2312"/>
          <w:sz w:val="32"/>
          <w:szCs w:val="32"/>
        </w:rPr>
      </w:pPr>
    </w:p>
    <w:p w14:paraId="793C9E1B">
      <w:pPr>
        <w:spacing w:line="578" w:lineRule="exact"/>
        <w:rPr>
          <w:rFonts w:eastAsia="仿宋_GB2312"/>
          <w:sz w:val="32"/>
          <w:szCs w:val="32"/>
        </w:rPr>
      </w:pPr>
    </w:p>
    <w:p w14:paraId="3DE31C2B">
      <w:pPr>
        <w:spacing w:line="578" w:lineRule="exact"/>
        <w:rPr>
          <w:rFonts w:eastAsia="仿宋_GB2312"/>
          <w:sz w:val="32"/>
          <w:szCs w:val="32"/>
        </w:rPr>
      </w:pPr>
    </w:p>
    <w:p w14:paraId="5FE27FF6">
      <w:pPr>
        <w:spacing w:line="578" w:lineRule="exact"/>
        <w:rPr>
          <w:rFonts w:eastAsia="仿宋_GB2312"/>
          <w:sz w:val="32"/>
          <w:szCs w:val="32"/>
        </w:rPr>
      </w:pPr>
    </w:p>
    <w:p w14:paraId="381BB6C8">
      <w:pPr>
        <w:spacing w:line="578" w:lineRule="exact"/>
        <w:rPr>
          <w:rFonts w:eastAsia="仿宋_GB2312"/>
          <w:sz w:val="32"/>
          <w:szCs w:val="32"/>
        </w:rPr>
      </w:pPr>
    </w:p>
    <w:p w14:paraId="759AEC77">
      <w:pPr>
        <w:spacing w:line="578" w:lineRule="exact"/>
        <w:rPr>
          <w:rFonts w:eastAsia="仿宋_GB2312"/>
          <w:sz w:val="32"/>
          <w:szCs w:val="32"/>
        </w:rPr>
      </w:pPr>
    </w:p>
    <w:p w14:paraId="50375845">
      <w:pPr>
        <w:spacing w:line="578" w:lineRule="exact"/>
        <w:rPr>
          <w:rFonts w:eastAsia="仿宋_GB2312"/>
          <w:sz w:val="32"/>
          <w:szCs w:val="32"/>
        </w:rPr>
      </w:pPr>
    </w:p>
    <w:p w14:paraId="52224964">
      <w:pPr>
        <w:spacing w:line="578" w:lineRule="exact"/>
        <w:jc w:val="center"/>
        <w:rPr>
          <w:rFonts w:ascii="方正小标宋_GBK" w:eastAsia="方正小标宋_GBK"/>
          <w:sz w:val="44"/>
          <w:szCs w:val="44"/>
        </w:rPr>
      </w:pPr>
      <w:r>
        <w:rPr>
          <w:rFonts w:hint="eastAsia" w:ascii="方正小标宋_GBK" w:eastAsia="方正小标宋_GBK"/>
          <w:sz w:val="44"/>
          <w:szCs w:val="44"/>
        </w:rPr>
        <w:t>2023年8月</w:t>
      </w:r>
    </w:p>
    <w:p w14:paraId="0EFB5358">
      <w:pPr>
        <w:spacing w:line="578" w:lineRule="exact"/>
        <w:jc w:val="center"/>
        <w:rPr>
          <w:rFonts w:ascii="方正小标宋_GBK" w:eastAsia="方正小标宋_GBK"/>
          <w:sz w:val="44"/>
          <w:szCs w:val="44"/>
        </w:rPr>
      </w:pPr>
    </w:p>
    <w:p w14:paraId="75DFD6D8">
      <w:pPr>
        <w:spacing w:line="578" w:lineRule="exact"/>
        <w:jc w:val="center"/>
        <w:rPr>
          <w:rFonts w:ascii="方正小标宋_GBK" w:eastAsia="方正小标宋_GBK"/>
          <w:sz w:val="44"/>
          <w:szCs w:val="44"/>
        </w:rPr>
      </w:pPr>
    </w:p>
    <w:sdt>
      <w:sdtPr>
        <w:rPr>
          <w:rFonts w:ascii="宋体" w:hAnsi="Calibri"/>
          <w:sz w:val="28"/>
        </w:rPr>
        <w:id w:val="-405218235"/>
        <w:docPartObj>
          <w:docPartGallery w:val="Table of Contents"/>
          <w:docPartUnique/>
        </w:docPartObj>
      </w:sdtPr>
      <w:sdtEndPr>
        <w:rPr>
          <w:rFonts w:hint="eastAsia" w:ascii="Calibri" w:hAnsi="Calibri"/>
          <w:sz w:val="28"/>
        </w:rPr>
      </w:sdtEndPr>
      <w:sdtContent>
        <w:p w14:paraId="61D8064F">
          <w:pPr>
            <w:spacing w:line="560" w:lineRule="exact"/>
            <w:jc w:val="center"/>
            <w:rPr>
              <w:bCs/>
              <w:szCs w:val="28"/>
            </w:rPr>
          </w:pPr>
          <w:r>
            <w:rPr>
              <w:rFonts w:hint="eastAsia" w:ascii="方正小标宋_GBK" w:eastAsia="方正小标宋_GBK"/>
              <w:bCs/>
              <w:sz w:val="44"/>
              <w:szCs w:val="44"/>
            </w:rPr>
            <w:t>目  录</w:t>
          </w:r>
        </w:p>
        <w:p w14:paraId="02E9ABDD">
          <w:pPr>
            <w:pStyle w:val="4"/>
            <w:tabs>
              <w:tab w:val="right" w:leader="dot" w:pos="8306"/>
            </w:tabs>
            <w:spacing w:line="540" w:lineRule="exact"/>
            <w:rPr>
              <w:rFonts w:ascii="Times New Roman" w:hAnsi="Times New Roman" w:eastAsia="方正仿宋_GBK"/>
              <w:szCs w:val="28"/>
            </w:rPr>
          </w:pPr>
          <w:r>
            <w:rPr>
              <w:rFonts w:ascii="Times New Roman" w:hAnsi="Times New Roman" w:eastAsia="方正仿宋_GBK"/>
              <w:szCs w:val="28"/>
            </w:rPr>
            <w:fldChar w:fldCharType="begin"/>
          </w:r>
          <w:r>
            <w:rPr>
              <w:rFonts w:ascii="Times New Roman" w:hAnsi="Times New Roman" w:eastAsia="方正仿宋_GBK"/>
              <w:szCs w:val="28"/>
            </w:rPr>
            <w:instrText xml:space="preserve">TOC \o "1-1" \h \u </w:instrText>
          </w:r>
          <w:r>
            <w:rPr>
              <w:rFonts w:ascii="Times New Roman" w:hAnsi="Times New Roman" w:eastAsia="方正仿宋_GBK"/>
              <w:szCs w:val="28"/>
            </w:rPr>
            <w:fldChar w:fldCharType="separate"/>
          </w:r>
          <w:r>
            <w:fldChar w:fldCharType="begin"/>
          </w:r>
          <w:r>
            <w:instrText xml:space="preserve"> HYPERLINK \l "_Toc8933" </w:instrText>
          </w:r>
          <w:r>
            <w:fldChar w:fldCharType="separate"/>
          </w:r>
          <w:r>
            <w:rPr>
              <w:rFonts w:hint="eastAsia" w:ascii="方正黑体_GBK" w:hAnsi="Times New Roman" w:eastAsia="方正黑体_GBK"/>
              <w:szCs w:val="28"/>
            </w:rPr>
            <w:t>1总则</w:t>
          </w:r>
          <w:r>
            <w:rPr>
              <w:rFonts w:ascii="Times New Roman" w:hAnsi="Times New Roman" w:eastAsia="方正仿宋_GBK"/>
              <w:szCs w:val="28"/>
            </w:rPr>
            <w:tab/>
          </w:r>
          <w:r>
            <w:rPr>
              <w:rFonts w:ascii="Times New Roman" w:hAnsi="Times New Roman" w:eastAsia="方正仿宋_GBK"/>
              <w:szCs w:val="28"/>
            </w:rPr>
            <w:t>1</w:t>
          </w:r>
          <w:r>
            <w:rPr>
              <w:rFonts w:ascii="Times New Roman" w:hAnsi="Times New Roman" w:eastAsia="方正仿宋_GBK"/>
              <w:szCs w:val="28"/>
            </w:rPr>
            <w:fldChar w:fldCharType="end"/>
          </w:r>
        </w:p>
        <w:p w14:paraId="165F2F1D">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"_Toc32351" </w:instrText>
          </w:r>
          <w:r>
            <w:fldChar w:fldCharType="separate"/>
          </w:r>
          <w:r>
            <w:rPr>
              <w:rFonts w:ascii="Times New Roman" w:hAnsi="Times New Roman" w:eastAsia="方正仿宋_GBK"/>
              <w:szCs w:val="28"/>
            </w:rPr>
            <w:t>1.1适用范围</w:t>
          </w:r>
          <w:r>
            <w:rPr>
              <w:rFonts w:ascii="Times New Roman" w:hAnsi="Times New Roman" w:eastAsia="方正仿宋_GBK"/>
              <w:szCs w:val="28"/>
            </w:rPr>
            <w:tab/>
          </w:r>
          <w:r>
            <w:rPr>
              <w:rFonts w:ascii="Times New Roman" w:hAnsi="Times New Roman" w:eastAsia="方正仿宋_GBK"/>
              <w:szCs w:val="28"/>
            </w:rPr>
            <w:t>1</w:t>
          </w:r>
          <w:r>
            <w:rPr>
              <w:rFonts w:ascii="Times New Roman" w:hAnsi="Times New Roman" w:eastAsia="方正仿宋_GBK"/>
              <w:szCs w:val="28"/>
            </w:rPr>
            <w:fldChar w:fldCharType="end"/>
          </w:r>
        </w:p>
        <w:p w14:paraId="507708B6">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"_Toc1820" </w:instrText>
          </w:r>
          <w:r>
            <w:fldChar w:fldCharType="separate"/>
          </w:r>
          <w:r>
            <w:rPr>
              <w:rFonts w:ascii="Times New Roman" w:hAnsi="Times New Roman" w:eastAsia="方正仿宋_GBK"/>
              <w:szCs w:val="28"/>
            </w:rPr>
            <w:t>1.2工作原则</w:t>
          </w:r>
          <w:r>
            <w:rPr>
              <w:rFonts w:ascii="Times New Roman" w:hAnsi="Times New Roman" w:eastAsia="方正仿宋_GBK"/>
              <w:szCs w:val="28"/>
            </w:rPr>
            <w:tab/>
          </w:r>
          <w:r>
            <w:rPr>
              <w:rFonts w:ascii="Times New Roman" w:hAnsi="Times New Roman" w:eastAsia="方正仿宋_GBK"/>
              <w:szCs w:val="28"/>
            </w:rPr>
            <w:t>1</w:t>
          </w:r>
          <w:r>
            <w:rPr>
              <w:rFonts w:ascii="Times New Roman" w:hAnsi="Times New Roman" w:eastAsia="方正仿宋_GBK"/>
              <w:szCs w:val="28"/>
            </w:rPr>
            <w:fldChar w:fldCharType="end"/>
          </w:r>
        </w:p>
        <w:p w14:paraId="64E9E744">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"_Toc9240" </w:instrText>
          </w:r>
          <w:r>
            <w:fldChar w:fldCharType="separate"/>
          </w:r>
          <w:r>
            <w:rPr>
              <w:rFonts w:ascii="Times New Roman" w:hAnsi="Times New Roman" w:eastAsia="方正仿宋_GBK"/>
              <w:szCs w:val="28"/>
            </w:rPr>
            <w:t>1.3事件分类分级</w:t>
          </w:r>
          <w:r>
            <w:rPr>
              <w:rFonts w:ascii="Times New Roman" w:hAnsi="Times New Roman" w:eastAsia="方正仿宋_GBK"/>
              <w:szCs w:val="28"/>
            </w:rPr>
            <w:tab/>
          </w:r>
          <w:r>
            <w:rPr>
              <w:rFonts w:ascii="Times New Roman" w:hAnsi="Times New Roman" w:eastAsia="方正仿宋_GBK"/>
              <w:szCs w:val="28"/>
            </w:rPr>
            <w:t>2</w:t>
          </w:r>
          <w:r>
            <w:rPr>
              <w:rFonts w:ascii="Times New Roman" w:hAnsi="Times New Roman" w:eastAsia="方正仿宋_GBK"/>
              <w:szCs w:val="28"/>
            </w:rPr>
            <w:fldChar w:fldCharType="end"/>
          </w:r>
        </w:p>
        <w:p w14:paraId="525A13F1">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"_Toc19841" </w:instrText>
          </w:r>
          <w:r>
            <w:fldChar w:fldCharType="separate"/>
          </w:r>
          <w:r>
            <w:rPr>
              <w:rFonts w:ascii="Times New Roman" w:hAnsi="Times New Roman" w:eastAsia="方正仿宋_GBK"/>
              <w:szCs w:val="28"/>
            </w:rPr>
            <w:t>1.4事件分级应对</w:t>
          </w:r>
          <w:r>
            <w:rPr>
              <w:rFonts w:ascii="Times New Roman" w:hAnsi="Times New Roman" w:eastAsia="方正仿宋_GBK"/>
              <w:szCs w:val="28"/>
            </w:rPr>
            <w:tab/>
          </w:r>
          <w:r>
            <w:rPr>
              <w:rFonts w:ascii="Times New Roman" w:hAnsi="Times New Roman" w:eastAsia="方正仿宋_GBK"/>
              <w:szCs w:val="28"/>
            </w:rPr>
            <w:t>3</w:t>
          </w:r>
          <w:r>
            <w:rPr>
              <w:rFonts w:ascii="Times New Roman" w:hAnsi="Times New Roman" w:eastAsia="方正仿宋_GBK"/>
              <w:szCs w:val="28"/>
            </w:rPr>
            <w:fldChar w:fldCharType="end"/>
          </w:r>
        </w:p>
        <w:p w14:paraId="5AC5B67B">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"_Toc7771" </w:instrText>
          </w:r>
          <w:r>
            <w:fldChar w:fldCharType="separate"/>
          </w:r>
          <w:r>
            <w:rPr>
              <w:rFonts w:ascii="Times New Roman" w:hAnsi="Times New Roman" w:eastAsia="方正仿宋_GBK"/>
              <w:szCs w:val="28"/>
            </w:rPr>
            <w:t>1.5响应分级</w:t>
          </w:r>
          <w:r>
            <w:rPr>
              <w:rFonts w:ascii="Times New Roman" w:hAnsi="Times New Roman" w:eastAsia="方正仿宋_GBK"/>
              <w:szCs w:val="28"/>
            </w:rPr>
            <w:tab/>
          </w:r>
          <w:r>
            <w:rPr>
              <w:rFonts w:ascii="Times New Roman" w:hAnsi="Times New Roman" w:eastAsia="方正仿宋_GBK"/>
              <w:szCs w:val="28"/>
            </w:rPr>
            <w:t>3</w:t>
          </w:r>
          <w:r>
            <w:rPr>
              <w:rFonts w:ascii="Times New Roman" w:hAnsi="Times New Roman" w:eastAsia="方正仿宋_GBK"/>
              <w:szCs w:val="28"/>
            </w:rPr>
            <w:fldChar w:fldCharType="end"/>
          </w:r>
        </w:p>
        <w:p w14:paraId="6FF30FFE">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"_Toc6651" </w:instrText>
          </w:r>
          <w:r>
            <w:fldChar w:fldCharType="separate"/>
          </w:r>
          <w:r>
            <w:rPr>
              <w:rFonts w:ascii="Times New Roman" w:hAnsi="Times New Roman" w:eastAsia="方正仿宋_GBK"/>
              <w:szCs w:val="28"/>
            </w:rPr>
            <w:t>1.6应急预案体系</w:t>
          </w:r>
          <w:r>
            <w:rPr>
              <w:rFonts w:ascii="Times New Roman" w:hAnsi="Times New Roman" w:eastAsia="方正仿宋_GBK"/>
              <w:szCs w:val="28"/>
            </w:rPr>
            <w:tab/>
          </w:r>
          <w:r>
            <w:rPr>
              <w:rFonts w:hint="eastAsia" w:ascii="Times New Roman" w:hAnsi="Times New Roman" w:eastAsia="方正仿宋_GBK"/>
              <w:szCs w:val="28"/>
            </w:rPr>
            <w:t>5</w:t>
          </w:r>
          <w:r>
            <w:rPr>
              <w:rFonts w:hint="eastAsia" w:ascii="Times New Roman" w:hAnsi="Times New Roman" w:eastAsia="方正仿宋_GBK"/>
              <w:szCs w:val="28"/>
            </w:rPr>
            <w:fldChar w:fldCharType="end"/>
          </w:r>
        </w:p>
        <w:p w14:paraId="54C052E2">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"_Toc7238" </w:instrText>
          </w:r>
          <w:r>
            <w:fldChar w:fldCharType="separate"/>
          </w:r>
          <w:r>
            <w:rPr>
              <w:rFonts w:hint="eastAsia" w:ascii="方正黑体_GBK" w:hAnsi="Times New Roman" w:eastAsia="方正黑体_GBK"/>
              <w:szCs w:val="28"/>
            </w:rPr>
            <w:t>2组织指挥体系</w:t>
          </w:r>
          <w:r>
            <w:rPr>
              <w:rFonts w:ascii="Times New Roman" w:hAnsi="Times New Roman" w:eastAsia="方正仿宋_GBK"/>
              <w:szCs w:val="28"/>
            </w:rPr>
            <w:tab/>
          </w:r>
          <w:r>
            <w:rPr>
              <w:rFonts w:ascii="Times New Roman" w:hAnsi="Times New Roman" w:eastAsia="方正仿宋_GBK"/>
              <w:szCs w:val="28"/>
            </w:rPr>
            <w:t>6</w:t>
          </w:r>
          <w:r>
            <w:rPr>
              <w:rFonts w:ascii="Times New Roman" w:hAnsi="Times New Roman" w:eastAsia="方正仿宋_GBK"/>
              <w:szCs w:val="28"/>
            </w:rPr>
            <w:fldChar w:fldCharType="end"/>
          </w:r>
        </w:p>
        <w:p w14:paraId="3A6B6B13">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"_Toc14033" </w:instrText>
          </w:r>
          <w:r>
            <w:fldChar w:fldCharType="separate"/>
          </w:r>
          <w:r>
            <w:rPr>
              <w:rFonts w:ascii="Times New Roman" w:hAnsi="Times New Roman" w:eastAsia="方正仿宋_GBK"/>
              <w:szCs w:val="28"/>
            </w:rPr>
            <w:t>2.1市组织指挥机构</w:t>
          </w:r>
          <w:r>
            <w:rPr>
              <w:rFonts w:ascii="Times New Roman" w:hAnsi="Times New Roman" w:eastAsia="方正仿宋_GBK"/>
              <w:szCs w:val="28"/>
            </w:rPr>
            <w:tab/>
          </w:r>
          <w:r>
            <w:rPr>
              <w:rFonts w:ascii="Times New Roman" w:hAnsi="Times New Roman" w:eastAsia="方正仿宋_GBK"/>
              <w:szCs w:val="28"/>
            </w:rPr>
            <w:t>6</w:t>
          </w:r>
          <w:r>
            <w:rPr>
              <w:rFonts w:ascii="Times New Roman" w:hAnsi="Times New Roman" w:eastAsia="方正仿宋_GBK"/>
              <w:szCs w:val="28"/>
            </w:rPr>
            <w:fldChar w:fldCharType="end"/>
          </w:r>
        </w:p>
        <w:p w14:paraId="1DDD6B61">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"_Toc16408" </w:instrText>
          </w:r>
          <w:r>
            <w:fldChar w:fldCharType="separate"/>
          </w:r>
          <w:r>
            <w:rPr>
              <w:rFonts w:ascii="Times New Roman" w:hAnsi="Times New Roman" w:eastAsia="方正仿宋_GBK"/>
              <w:szCs w:val="28"/>
            </w:rPr>
            <w:t>2.2市以下组织指挥机构</w:t>
          </w:r>
          <w:r>
            <w:rPr>
              <w:rFonts w:ascii="Times New Roman" w:hAnsi="Times New Roman" w:eastAsia="方正仿宋_GBK"/>
              <w:szCs w:val="28"/>
            </w:rPr>
            <w:tab/>
          </w:r>
          <w:r>
            <w:rPr>
              <w:rFonts w:ascii="Times New Roman" w:hAnsi="Times New Roman" w:eastAsia="方正仿宋_GBK"/>
              <w:szCs w:val="28"/>
            </w:rPr>
            <w:t>8</w:t>
          </w:r>
          <w:r>
            <w:rPr>
              <w:rFonts w:ascii="Times New Roman" w:hAnsi="Times New Roman" w:eastAsia="方正仿宋_GBK"/>
              <w:szCs w:val="28"/>
            </w:rPr>
            <w:fldChar w:fldCharType="end"/>
          </w:r>
        </w:p>
        <w:p w14:paraId="6E3A1D05">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"_Toc8702" </w:instrText>
          </w:r>
          <w:r>
            <w:fldChar w:fldCharType="separate"/>
          </w:r>
          <w:r>
            <w:rPr>
              <w:rFonts w:ascii="Times New Roman" w:hAnsi="Times New Roman" w:eastAsia="方正仿宋_GBK"/>
              <w:szCs w:val="28"/>
            </w:rPr>
            <w:t>2.3专家组</w:t>
          </w:r>
          <w:r>
            <w:rPr>
              <w:rFonts w:ascii="Times New Roman" w:hAnsi="Times New Roman" w:eastAsia="方正仿宋_GBK"/>
              <w:szCs w:val="28"/>
            </w:rPr>
            <w:tab/>
          </w:r>
          <w:r>
            <w:rPr>
              <w:rFonts w:ascii="Times New Roman" w:hAnsi="Times New Roman" w:eastAsia="方正仿宋_GBK"/>
              <w:szCs w:val="28"/>
            </w:rPr>
            <w:t>8</w:t>
          </w:r>
          <w:r>
            <w:rPr>
              <w:rFonts w:ascii="Times New Roman" w:hAnsi="Times New Roman" w:eastAsia="方正仿宋_GBK"/>
              <w:szCs w:val="28"/>
            </w:rPr>
            <w:fldChar w:fldCharType="end"/>
          </w:r>
        </w:p>
        <w:p w14:paraId="6983A06A">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"_Toc10701" </w:instrText>
          </w:r>
          <w:r>
            <w:fldChar w:fldCharType="separate"/>
          </w:r>
          <w:r>
            <w:rPr>
              <w:rFonts w:hint="eastAsia" w:ascii="方正黑体_GBK" w:hAnsi="Times New Roman" w:eastAsia="方正黑体_GBK"/>
              <w:szCs w:val="28"/>
            </w:rPr>
            <w:t>3风险防控与监测预警</w:t>
          </w:r>
          <w:r>
            <w:rPr>
              <w:rFonts w:ascii="Times New Roman" w:hAnsi="Times New Roman" w:eastAsia="方正仿宋_GBK"/>
              <w:szCs w:val="28"/>
            </w:rPr>
            <w:tab/>
          </w:r>
          <w:r>
            <w:rPr>
              <w:rFonts w:ascii="Times New Roman" w:hAnsi="Times New Roman" w:eastAsia="方正仿宋_GBK"/>
              <w:szCs w:val="28"/>
            </w:rPr>
            <w:t>8</w:t>
          </w:r>
          <w:r>
            <w:rPr>
              <w:rFonts w:ascii="Times New Roman" w:hAnsi="Times New Roman" w:eastAsia="方正仿宋_GBK"/>
              <w:szCs w:val="28"/>
            </w:rPr>
            <w:fldChar w:fldCharType="end"/>
          </w:r>
        </w:p>
        <w:p w14:paraId="638D03BE">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"_Toc21963" </w:instrText>
          </w:r>
          <w:r>
            <w:fldChar w:fldCharType="separate"/>
          </w:r>
          <w:r>
            <w:rPr>
              <w:rFonts w:ascii="Times New Roman" w:hAnsi="Times New Roman" w:eastAsia="方正仿宋_GBK"/>
              <w:szCs w:val="28"/>
            </w:rPr>
            <w:t>3.1风险防控</w:t>
          </w:r>
          <w:r>
            <w:rPr>
              <w:rFonts w:ascii="Times New Roman" w:hAnsi="Times New Roman" w:eastAsia="方正仿宋_GBK"/>
              <w:szCs w:val="28"/>
            </w:rPr>
            <w:tab/>
          </w:r>
          <w:r>
            <w:rPr>
              <w:rFonts w:ascii="Times New Roman" w:hAnsi="Times New Roman" w:eastAsia="方正仿宋_GBK"/>
              <w:szCs w:val="28"/>
            </w:rPr>
            <w:t>8</w:t>
          </w:r>
          <w:r>
            <w:rPr>
              <w:rFonts w:ascii="Times New Roman" w:hAnsi="Times New Roman" w:eastAsia="方正仿宋_GBK"/>
              <w:szCs w:val="28"/>
            </w:rPr>
            <w:fldChar w:fldCharType="end"/>
          </w:r>
        </w:p>
        <w:p w14:paraId="6E664E3E">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"_Toc25540" </w:instrText>
          </w:r>
          <w:r>
            <w:fldChar w:fldCharType="separate"/>
          </w:r>
          <w:r>
            <w:rPr>
              <w:rFonts w:ascii="Times New Roman" w:hAnsi="Times New Roman" w:eastAsia="方正仿宋_GBK"/>
              <w:szCs w:val="28"/>
            </w:rPr>
            <w:t>3.2监测与预警</w:t>
          </w:r>
          <w:r>
            <w:rPr>
              <w:rFonts w:ascii="Times New Roman" w:hAnsi="Times New Roman" w:eastAsia="方正仿宋_GBK"/>
              <w:szCs w:val="28"/>
            </w:rPr>
            <w:tab/>
          </w:r>
          <w:r>
            <w:rPr>
              <w:rFonts w:hint="eastAsia" w:ascii="Times New Roman" w:hAnsi="Times New Roman" w:eastAsia="方正仿宋_GBK"/>
              <w:szCs w:val="28"/>
            </w:rPr>
            <w:t>10</w:t>
          </w:r>
          <w:r>
            <w:rPr>
              <w:rFonts w:hint="eastAsia" w:ascii="Times New Roman" w:hAnsi="Times New Roman" w:eastAsia="方正仿宋_GBK"/>
              <w:szCs w:val="28"/>
            </w:rPr>
            <w:fldChar w:fldCharType="end"/>
          </w:r>
        </w:p>
        <w:p w14:paraId="1BDE1D99">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"_Toc12140" </w:instrText>
          </w:r>
          <w:r>
            <w:fldChar w:fldCharType="separate"/>
          </w:r>
          <w:r>
            <w:rPr>
              <w:rFonts w:hint="eastAsia" w:ascii="方正黑体_GBK" w:hAnsi="Times New Roman" w:eastAsia="方正黑体_GBK"/>
              <w:szCs w:val="28"/>
            </w:rPr>
            <w:t>4应急响应</w:t>
          </w:r>
          <w:r>
            <w:rPr>
              <w:rFonts w:ascii="Times New Roman" w:hAnsi="Times New Roman" w:eastAsia="方正仿宋_GBK"/>
              <w:szCs w:val="28"/>
            </w:rPr>
            <w:tab/>
          </w:r>
          <w:r>
            <w:rPr>
              <w:rFonts w:ascii="Times New Roman" w:hAnsi="Times New Roman" w:eastAsia="方正仿宋_GBK"/>
              <w:szCs w:val="28"/>
            </w:rPr>
            <w:t>1</w:t>
          </w:r>
          <w:r>
            <w:rPr>
              <w:rFonts w:ascii="Times New Roman" w:hAnsi="Times New Roman" w:eastAsia="方正仿宋_GBK"/>
              <w:szCs w:val="28"/>
            </w:rPr>
            <w:fldChar w:fldCharType="end"/>
          </w:r>
          <w:r>
            <w:rPr>
              <w:rFonts w:ascii="Times New Roman" w:hAnsi="Times New Roman" w:eastAsia="方正仿宋_GBK"/>
              <w:szCs w:val="28"/>
            </w:rPr>
            <w:t>3</w:t>
          </w:r>
        </w:p>
        <w:p w14:paraId="67FC6D0F">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"_Toc10600" </w:instrText>
          </w:r>
          <w:r>
            <w:fldChar w:fldCharType="separate"/>
          </w:r>
          <w:r>
            <w:rPr>
              <w:rFonts w:ascii="Times New Roman" w:hAnsi="Times New Roman" w:eastAsia="方正仿宋_GBK"/>
              <w:szCs w:val="28"/>
            </w:rPr>
            <w:t>4.1信息报告</w:t>
          </w:r>
          <w:r>
            <w:rPr>
              <w:rFonts w:ascii="Times New Roman" w:hAnsi="Times New Roman" w:eastAsia="方正仿宋_GBK"/>
              <w:szCs w:val="28"/>
            </w:rPr>
            <w:tab/>
          </w:r>
          <w:r>
            <w:rPr>
              <w:rFonts w:ascii="Times New Roman" w:hAnsi="Times New Roman" w:eastAsia="方正仿宋_GBK"/>
              <w:szCs w:val="28"/>
            </w:rPr>
            <w:t>1</w:t>
          </w:r>
          <w:r>
            <w:rPr>
              <w:rFonts w:ascii="Times New Roman" w:hAnsi="Times New Roman" w:eastAsia="方正仿宋_GBK"/>
              <w:szCs w:val="28"/>
            </w:rPr>
            <w:fldChar w:fldCharType="end"/>
          </w:r>
          <w:r>
            <w:rPr>
              <w:rFonts w:ascii="Times New Roman" w:hAnsi="Times New Roman" w:eastAsia="方正仿宋_GBK"/>
              <w:szCs w:val="28"/>
            </w:rPr>
            <w:t>3</w:t>
          </w:r>
        </w:p>
        <w:p w14:paraId="2168EACD">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"_Toc11142" </w:instrText>
          </w:r>
          <w:r>
            <w:fldChar w:fldCharType="separate"/>
          </w:r>
          <w:r>
            <w:rPr>
              <w:rFonts w:ascii="Times New Roman" w:hAnsi="Times New Roman" w:eastAsia="方正仿宋_GBK"/>
              <w:szCs w:val="28"/>
            </w:rPr>
            <w:t>4.2先期处置</w:t>
          </w:r>
          <w:r>
            <w:rPr>
              <w:rFonts w:ascii="Times New Roman" w:hAnsi="Times New Roman" w:eastAsia="方正仿宋_GBK"/>
              <w:szCs w:val="28"/>
            </w:rPr>
            <w:tab/>
          </w:r>
          <w:r>
            <w:rPr>
              <w:rFonts w:hint="eastAsia" w:ascii="Times New Roman" w:hAnsi="Times New Roman" w:eastAsia="方正仿宋_GBK"/>
              <w:szCs w:val="28"/>
            </w:rPr>
            <w:t>14</w:t>
          </w:r>
          <w:r>
            <w:rPr>
              <w:rFonts w:hint="eastAsia" w:ascii="Times New Roman" w:hAnsi="Times New Roman" w:eastAsia="方正仿宋_GBK"/>
              <w:szCs w:val="28"/>
            </w:rPr>
            <w:fldChar w:fldCharType="end"/>
          </w:r>
        </w:p>
        <w:p w14:paraId="78B6996E">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"_Toc42" </w:instrText>
          </w:r>
          <w:r>
            <w:fldChar w:fldCharType="separate"/>
          </w:r>
          <w:r>
            <w:rPr>
              <w:rFonts w:ascii="Times New Roman" w:hAnsi="Times New Roman" w:eastAsia="方正仿宋_GBK"/>
              <w:szCs w:val="28"/>
            </w:rPr>
            <w:t>4.3指挥协调</w:t>
          </w:r>
          <w:r>
            <w:rPr>
              <w:rFonts w:ascii="Times New Roman" w:hAnsi="Times New Roman" w:eastAsia="方正仿宋_GBK"/>
              <w:szCs w:val="28"/>
            </w:rPr>
            <w:tab/>
          </w:r>
          <w:r>
            <w:rPr>
              <w:rFonts w:ascii="Times New Roman" w:hAnsi="Times New Roman" w:eastAsia="方正仿宋_GBK"/>
              <w:szCs w:val="28"/>
            </w:rPr>
            <w:t>1</w:t>
          </w:r>
          <w:r>
            <w:rPr>
              <w:rFonts w:ascii="Times New Roman" w:hAnsi="Times New Roman" w:eastAsia="方正仿宋_GBK"/>
              <w:szCs w:val="28"/>
            </w:rPr>
            <w:fldChar w:fldCharType="end"/>
          </w:r>
          <w:r>
            <w:rPr>
              <w:rFonts w:ascii="Times New Roman" w:hAnsi="Times New Roman" w:eastAsia="方正仿宋_GBK"/>
              <w:szCs w:val="28"/>
            </w:rPr>
            <w:t>5</w:t>
          </w:r>
        </w:p>
        <w:p w14:paraId="77810D1F">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"_Toc12215" </w:instrText>
          </w:r>
          <w:r>
            <w:fldChar w:fldCharType="separate"/>
          </w:r>
          <w:r>
            <w:rPr>
              <w:rFonts w:ascii="Times New Roman" w:hAnsi="Times New Roman" w:eastAsia="方正仿宋_GBK"/>
              <w:szCs w:val="28"/>
            </w:rPr>
            <w:t>4.4处置措施</w:t>
          </w:r>
          <w:r>
            <w:rPr>
              <w:rFonts w:ascii="Times New Roman" w:hAnsi="Times New Roman" w:eastAsia="方正仿宋_GBK"/>
              <w:szCs w:val="28"/>
            </w:rPr>
            <w:tab/>
          </w:r>
          <w:r>
            <w:rPr>
              <w:rFonts w:ascii="Times New Roman" w:hAnsi="Times New Roman" w:eastAsia="方正仿宋_GBK"/>
              <w:szCs w:val="28"/>
            </w:rPr>
            <w:t>1</w:t>
          </w:r>
          <w:r>
            <w:rPr>
              <w:rFonts w:ascii="Times New Roman" w:hAnsi="Times New Roman" w:eastAsia="方正仿宋_GBK"/>
              <w:szCs w:val="28"/>
            </w:rPr>
            <w:fldChar w:fldCharType="end"/>
          </w:r>
          <w:r>
            <w:rPr>
              <w:rFonts w:ascii="Times New Roman" w:hAnsi="Times New Roman" w:eastAsia="方正仿宋_GBK"/>
              <w:szCs w:val="28"/>
            </w:rPr>
            <w:t>7</w:t>
          </w:r>
        </w:p>
        <w:p w14:paraId="60C224AD">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"_Toc7509" </w:instrText>
          </w:r>
          <w:r>
            <w:fldChar w:fldCharType="separate"/>
          </w:r>
          <w:r>
            <w:rPr>
              <w:rFonts w:ascii="Times New Roman" w:hAnsi="Times New Roman" w:eastAsia="方正仿宋_GBK"/>
              <w:szCs w:val="28"/>
            </w:rPr>
            <w:t>4.5信息发布与舆论引导</w:t>
          </w:r>
          <w:r>
            <w:rPr>
              <w:rFonts w:ascii="Times New Roman" w:hAnsi="Times New Roman" w:eastAsia="方正仿宋_GBK"/>
              <w:szCs w:val="28"/>
            </w:rPr>
            <w:tab/>
          </w:r>
          <w:r>
            <w:rPr>
              <w:rFonts w:ascii="Times New Roman" w:hAnsi="Times New Roman" w:eastAsia="方正仿宋_GBK"/>
              <w:szCs w:val="28"/>
            </w:rPr>
            <w:t>2</w:t>
          </w:r>
          <w:r>
            <w:rPr>
              <w:rFonts w:ascii="Times New Roman" w:hAnsi="Times New Roman" w:eastAsia="方正仿宋_GBK"/>
              <w:szCs w:val="28"/>
            </w:rPr>
            <w:fldChar w:fldCharType="end"/>
          </w:r>
          <w:r>
            <w:rPr>
              <w:rFonts w:ascii="Times New Roman" w:hAnsi="Times New Roman" w:eastAsia="方正仿宋_GBK"/>
              <w:szCs w:val="28"/>
            </w:rPr>
            <w:t>0</w:t>
          </w:r>
        </w:p>
        <w:p w14:paraId="02E97C96">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"_Toc4510" </w:instrText>
          </w:r>
          <w:r>
            <w:fldChar w:fldCharType="separate"/>
          </w:r>
          <w:r>
            <w:rPr>
              <w:rFonts w:ascii="Times New Roman" w:hAnsi="Times New Roman" w:eastAsia="方正仿宋_GBK"/>
              <w:szCs w:val="28"/>
            </w:rPr>
            <w:t>4.6应急结束</w:t>
          </w:r>
          <w:r>
            <w:rPr>
              <w:rFonts w:ascii="Times New Roman" w:hAnsi="Times New Roman" w:eastAsia="方正仿宋_GBK"/>
              <w:szCs w:val="28"/>
            </w:rPr>
            <w:tab/>
          </w:r>
          <w:r>
            <w:rPr>
              <w:rFonts w:ascii="Times New Roman" w:hAnsi="Times New Roman" w:eastAsia="方正仿宋_GBK"/>
              <w:szCs w:val="28"/>
            </w:rPr>
            <w:t>2</w:t>
          </w:r>
          <w:r>
            <w:rPr>
              <w:rFonts w:ascii="Times New Roman" w:hAnsi="Times New Roman" w:eastAsia="方正仿宋_GBK"/>
              <w:szCs w:val="28"/>
            </w:rPr>
            <w:fldChar w:fldCharType="end"/>
          </w:r>
          <w:r>
            <w:rPr>
              <w:rFonts w:ascii="Times New Roman" w:hAnsi="Times New Roman" w:eastAsia="方正仿宋_GBK"/>
              <w:szCs w:val="28"/>
            </w:rPr>
            <w:t>2</w:t>
          </w:r>
        </w:p>
        <w:p w14:paraId="23F758DC">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"_Toc10116" </w:instrText>
          </w:r>
          <w:r>
            <w:fldChar w:fldCharType="separate"/>
          </w:r>
          <w:r>
            <w:rPr>
              <w:rFonts w:hint="eastAsia" w:ascii="方正黑体_GBK" w:hAnsi="Times New Roman" w:eastAsia="方正黑体_GBK"/>
              <w:szCs w:val="28"/>
            </w:rPr>
            <w:t>5后期处置</w:t>
          </w:r>
          <w:r>
            <w:rPr>
              <w:rFonts w:ascii="Times New Roman" w:hAnsi="Times New Roman" w:eastAsia="方正仿宋_GBK"/>
              <w:szCs w:val="28"/>
            </w:rPr>
            <w:tab/>
          </w:r>
          <w:r>
            <w:rPr>
              <w:rFonts w:ascii="Times New Roman" w:hAnsi="Times New Roman" w:eastAsia="方正仿宋_GBK"/>
              <w:szCs w:val="28"/>
            </w:rPr>
            <w:t>2</w:t>
          </w:r>
          <w:r>
            <w:rPr>
              <w:rFonts w:ascii="Times New Roman" w:hAnsi="Times New Roman" w:eastAsia="方正仿宋_GBK"/>
              <w:szCs w:val="28"/>
            </w:rPr>
            <w:fldChar w:fldCharType="end"/>
          </w:r>
          <w:r>
            <w:rPr>
              <w:rFonts w:ascii="Times New Roman" w:hAnsi="Times New Roman" w:eastAsia="方正仿宋_GBK"/>
              <w:szCs w:val="28"/>
            </w:rPr>
            <w:t>2</w:t>
          </w:r>
        </w:p>
        <w:p w14:paraId="4F06899C">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"_Toc20221" </w:instrText>
          </w:r>
          <w:r>
            <w:fldChar w:fldCharType="separate"/>
          </w:r>
          <w:r>
            <w:rPr>
              <w:rFonts w:ascii="Times New Roman" w:hAnsi="Times New Roman" w:eastAsia="方正仿宋_GBK"/>
              <w:szCs w:val="28"/>
            </w:rPr>
            <w:t>5.1善后处置</w:t>
          </w:r>
          <w:r>
            <w:rPr>
              <w:rFonts w:ascii="Times New Roman" w:hAnsi="Times New Roman" w:eastAsia="方正仿宋_GBK"/>
              <w:szCs w:val="28"/>
            </w:rPr>
            <w:tab/>
          </w:r>
          <w:r>
            <w:rPr>
              <w:rFonts w:ascii="Times New Roman" w:hAnsi="Times New Roman" w:eastAsia="方正仿宋_GBK"/>
              <w:szCs w:val="28"/>
            </w:rPr>
            <w:t>2</w:t>
          </w:r>
          <w:r>
            <w:rPr>
              <w:rFonts w:ascii="Times New Roman" w:hAnsi="Times New Roman" w:eastAsia="方正仿宋_GBK"/>
              <w:szCs w:val="28"/>
            </w:rPr>
            <w:fldChar w:fldCharType="end"/>
          </w:r>
          <w:r>
            <w:rPr>
              <w:rFonts w:ascii="Times New Roman" w:hAnsi="Times New Roman" w:eastAsia="方正仿宋_GBK"/>
              <w:szCs w:val="28"/>
            </w:rPr>
            <w:t>2</w:t>
          </w:r>
        </w:p>
        <w:p w14:paraId="60A12AEF">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"_Toc6337" </w:instrText>
          </w:r>
          <w:r>
            <w:fldChar w:fldCharType="separate"/>
          </w:r>
          <w:r>
            <w:rPr>
              <w:rFonts w:ascii="Times New Roman" w:hAnsi="Times New Roman" w:eastAsia="方正仿宋_GBK"/>
              <w:szCs w:val="28"/>
            </w:rPr>
            <w:t>5.2恢复重建</w:t>
          </w:r>
          <w:r>
            <w:rPr>
              <w:rFonts w:ascii="Times New Roman" w:hAnsi="Times New Roman" w:eastAsia="方正仿宋_GBK"/>
              <w:szCs w:val="28"/>
            </w:rPr>
            <w:tab/>
          </w:r>
          <w:r>
            <w:rPr>
              <w:rFonts w:ascii="Times New Roman" w:hAnsi="Times New Roman" w:eastAsia="方正仿宋_GBK"/>
              <w:szCs w:val="28"/>
            </w:rPr>
            <w:t>2</w:t>
          </w:r>
          <w:r>
            <w:rPr>
              <w:rFonts w:ascii="Times New Roman" w:hAnsi="Times New Roman" w:eastAsia="方正仿宋_GBK"/>
              <w:szCs w:val="28"/>
            </w:rPr>
            <w:fldChar w:fldCharType="end"/>
          </w:r>
          <w:r>
            <w:rPr>
              <w:rFonts w:ascii="Times New Roman" w:hAnsi="Times New Roman" w:eastAsia="方正仿宋_GBK"/>
              <w:szCs w:val="28"/>
            </w:rPr>
            <w:t>3</w:t>
          </w:r>
        </w:p>
        <w:p w14:paraId="68892F3D">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"_Toc18394" </w:instrText>
          </w:r>
          <w:r>
            <w:fldChar w:fldCharType="separate"/>
          </w:r>
          <w:r>
            <w:rPr>
              <w:rFonts w:ascii="Times New Roman" w:hAnsi="Times New Roman" w:eastAsia="方正仿宋_GBK"/>
              <w:szCs w:val="28"/>
            </w:rPr>
            <w:t>5.3调查与评估</w:t>
          </w:r>
          <w:r>
            <w:rPr>
              <w:rFonts w:ascii="Times New Roman" w:hAnsi="Times New Roman" w:eastAsia="方正仿宋_GBK"/>
              <w:szCs w:val="28"/>
            </w:rPr>
            <w:tab/>
          </w:r>
          <w:r>
            <w:rPr>
              <w:rFonts w:ascii="Times New Roman" w:hAnsi="Times New Roman" w:eastAsia="方正仿宋_GBK"/>
              <w:szCs w:val="28"/>
            </w:rPr>
            <w:t>2</w:t>
          </w:r>
          <w:r>
            <w:rPr>
              <w:rFonts w:ascii="Times New Roman" w:hAnsi="Times New Roman" w:eastAsia="方正仿宋_GBK"/>
              <w:szCs w:val="28"/>
            </w:rPr>
            <w:fldChar w:fldCharType="end"/>
          </w:r>
          <w:r>
            <w:rPr>
              <w:rFonts w:ascii="Times New Roman" w:hAnsi="Times New Roman" w:eastAsia="方正仿宋_GBK"/>
              <w:szCs w:val="28"/>
            </w:rPr>
            <w:t>3</w:t>
          </w:r>
        </w:p>
        <w:p w14:paraId="3AD4D7A2">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"_Toc28305" </w:instrText>
          </w:r>
          <w:r>
            <w:fldChar w:fldCharType="separate"/>
          </w:r>
          <w:r>
            <w:rPr>
              <w:rFonts w:hint="eastAsia" w:ascii="方正黑体_GBK" w:hAnsi="Times New Roman" w:eastAsia="方正黑体_GBK"/>
              <w:szCs w:val="28"/>
            </w:rPr>
            <w:t>6支持与保障</w:t>
          </w:r>
          <w:r>
            <w:rPr>
              <w:rFonts w:ascii="Times New Roman" w:hAnsi="Times New Roman" w:eastAsia="方正仿宋_GBK"/>
              <w:szCs w:val="28"/>
            </w:rPr>
            <w:tab/>
          </w:r>
          <w:r>
            <w:rPr>
              <w:rFonts w:ascii="Times New Roman" w:hAnsi="Times New Roman" w:eastAsia="方正仿宋_GBK"/>
              <w:szCs w:val="28"/>
            </w:rPr>
            <w:t>2</w:t>
          </w:r>
          <w:r>
            <w:rPr>
              <w:rFonts w:ascii="Times New Roman" w:hAnsi="Times New Roman" w:eastAsia="方正仿宋_GBK"/>
              <w:szCs w:val="28"/>
            </w:rPr>
            <w:fldChar w:fldCharType="end"/>
          </w:r>
          <w:r>
            <w:rPr>
              <w:rFonts w:ascii="Times New Roman" w:hAnsi="Times New Roman" w:eastAsia="方正仿宋_GBK"/>
              <w:szCs w:val="28"/>
            </w:rPr>
            <w:t>4</w:t>
          </w:r>
        </w:p>
        <w:p w14:paraId="1C63E67F">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"_Toc4820" </w:instrText>
          </w:r>
          <w:r>
            <w:fldChar w:fldCharType="separate"/>
          </w:r>
          <w:r>
            <w:rPr>
              <w:rFonts w:ascii="Times New Roman" w:hAnsi="Times New Roman" w:eastAsia="方正仿宋_GBK"/>
              <w:szCs w:val="28"/>
            </w:rPr>
            <w:t>6.1人力资源</w:t>
          </w:r>
          <w:r>
            <w:rPr>
              <w:rFonts w:ascii="Times New Roman" w:hAnsi="Times New Roman" w:eastAsia="方正仿宋_GBK"/>
              <w:szCs w:val="28"/>
            </w:rPr>
            <w:tab/>
          </w:r>
          <w:r>
            <w:rPr>
              <w:rFonts w:ascii="Times New Roman" w:hAnsi="Times New Roman" w:eastAsia="方正仿宋_GBK"/>
              <w:szCs w:val="28"/>
            </w:rPr>
            <w:t>2</w:t>
          </w:r>
          <w:r>
            <w:rPr>
              <w:rFonts w:ascii="Times New Roman" w:hAnsi="Times New Roman" w:eastAsia="方正仿宋_GBK"/>
              <w:szCs w:val="28"/>
            </w:rPr>
            <w:fldChar w:fldCharType="end"/>
          </w:r>
          <w:r>
            <w:rPr>
              <w:rFonts w:ascii="Times New Roman" w:hAnsi="Times New Roman" w:eastAsia="方正仿宋_GBK"/>
              <w:szCs w:val="28"/>
            </w:rPr>
            <w:t>4</w:t>
          </w:r>
        </w:p>
        <w:p w14:paraId="45CC715A">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"_Toc32641" </w:instrText>
          </w:r>
          <w:r>
            <w:fldChar w:fldCharType="separate"/>
          </w:r>
          <w:r>
            <w:rPr>
              <w:rFonts w:ascii="Times New Roman" w:hAnsi="Times New Roman" w:eastAsia="方正仿宋_GBK"/>
              <w:szCs w:val="28"/>
            </w:rPr>
            <w:t>6.2财力支持</w:t>
          </w:r>
          <w:r>
            <w:rPr>
              <w:rFonts w:ascii="Times New Roman" w:hAnsi="Times New Roman" w:eastAsia="方正仿宋_GBK"/>
              <w:szCs w:val="28"/>
            </w:rPr>
            <w:tab/>
          </w:r>
          <w:r>
            <w:rPr>
              <w:rFonts w:ascii="Times New Roman" w:hAnsi="Times New Roman" w:eastAsia="方正仿宋_GBK"/>
              <w:szCs w:val="28"/>
            </w:rPr>
            <w:t>2</w:t>
          </w:r>
          <w:r>
            <w:rPr>
              <w:rFonts w:ascii="Times New Roman" w:hAnsi="Times New Roman" w:eastAsia="方正仿宋_GBK"/>
              <w:szCs w:val="28"/>
            </w:rPr>
            <w:fldChar w:fldCharType="end"/>
          </w:r>
          <w:r>
            <w:rPr>
              <w:rFonts w:ascii="Times New Roman" w:hAnsi="Times New Roman" w:eastAsia="方正仿宋_GBK"/>
              <w:szCs w:val="28"/>
            </w:rPr>
            <w:t>5</w:t>
          </w:r>
        </w:p>
        <w:p w14:paraId="75302D92">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"_Toc1292" </w:instrText>
          </w:r>
          <w:r>
            <w:fldChar w:fldCharType="separate"/>
          </w:r>
          <w:r>
            <w:rPr>
              <w:rFonts w:ascii="Times New Roman" w:hAnsi="Times New Roman" w:eastAsia="方正仿宋_GBK"/>
              <w:szCs w:val="28"/>
            </w:rPr>
            <w:t>6.3物资装备</w:t>
          </w:r>
          <w:r>
            <w:rPr>
              <w:rFonts w:ascii="Times New Roman" w:hAnsi="Times New Roman" w:eastAsia="方正仿宋_GBK"/>
              <w:szCs w:val="28"/>
            </w:rPr>
            <w:tab/>
          </w:r>
          <w:r>
            <w:rPr>
              <w:rFonts w:ascii="Times New Roman" w:hAnsi="Times New Roman" w:eastAsia="方正仿宋_GBK"/>
              <w:szCs w:val="28"/>
            </w:rPr>
            <w:t>2</w:t>
          </w:r>
          <w:r>
            <w:rPr>
              <w:rFonts w:ascii="Times New Roman" w:hAnsi="Times New Roman" w:eastAsia="方正仿宋_GBK"/>
              <w:szCs w:val="28"/>
            </w:rPr>
            <w:fldChar w:fldCharType="end"/>
          </w:r>
          <w:r>
            <w:rPr>
              <w:rFonts w:ascii="Times New Roman" w:hAnsi="Times New Roman" w:eastAsia="方正仿宋_GBK"/>
              <w:szCs w:val="28"/>
            </w:rPr>
            <w:t>6</w:t>
          </w:r>
        </w:p>
        <w:p w14:paraId="6A327FD6">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"_Toc18920" </w:instrText>
          </w:r>
          <w:r>
            <w:fldChar w:fldCharType="separate"/>
          </w:r>
          <w:r>
            <w:rPr>
              <w:rFonts w:ascii="Times New Roman" w:hAnsi="Times New Roman" w:eastAsia="方正仿宋_GBK"/>
              <w:szCs w:val="28"/>
            </w:rPr>
            <w:t>6.4科技支撑</w:t>
          </w:r>
          <w:r>
            <w:rPr>
              <w:rFonts w:ascii="Times New Roman" w:hAnsi="Times New Roman" w:eastAsia="方正仿宋_GBK"/>
              <w:szCs w:val="28"/>
            </w:rPr>
            <w:tab/>
          </w:r>
          <w:r>
            <w:rPr>
              <w:rFonts w:ascii="Times New Roman" w:hAnsi="Times New Roman" w:eastAsia="方正仿宋_GBK"/>
              <w:szCs w:val="28"/>
            </w:rPr>
            <w:t>2</w:t>
          </w:r>
          <w:r>
            <w:rPr>
              <w:rFonts w:ascii="Times New Roman" w:hAnsi="Times New Roman" w:eastAsia="方正仿宋_GBK"/>
              <w:szCs w:val="28"/>
            </w:rPr>
            <w:fldChar w:fldCharType="end"/>
          </w:r>
          <w:r>
            <w:rPr>
              <w:rFonts w:ascii="Times New Roman" w:hAnsi="Times New Roman" w:eastAsia="方正仿宋_GBK"/>
              <w:szCs w:val="28"/>
            </w:rPr>
            <w:t>7</w:t>
          </w:r>
        </w:p>
        <w:p w14:paraId="4E483B0E">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"_Toc4679" </w:instrText>
          </w:r>
          <w:r>
            <w:fldChar w:fldCharType="separate"/>
          </w:r>
          <w:r>
            <w:rPr>
              <w:rFonts w:hint="eastAsia" w:ascii="方正黑体_GBK" w:hAnsi="Times New Roman" w:eastAsia="方正黑体_GBK"/>
              <w:szCs w:val="28"/>
            </w:rPr>
            <w:t>7预案管理</w:t>
          </w:r>
          <w:r>
            <w:rPr>
              <w:rFonts w:ascii="Times New Roman" w:hAnsi="Times New Roman" w:eastAsia="方正仿宋_GBK"/>
              <w:szCs w:val="28"/>
            </w:rPr>
            <w:tab/>
          </w:r>
          <w:r>
            <w:rPr>
              <w:rFonts w:ascii="Times New Roman" w:hAnsi="Times New Roman" w:eastAsia="方正仿宋_GBK"/>
              <w:szCs w:val="28"/>
            </w:rPr>
            <w:t>2</w:t>
          </w:r>
          <w:r>
            <w:rPr>
              <w:rFonts w:ascii="Times New Roman" w:hAnsi="Times New Roman" w:eastAsia="方正仿宋_GBK"/>
              <w:szCs w:val="28"/>
            </w:rPr>
            <w:fldChar w:fldCharType="end"/>
          </w:r>
          <w:r>
            <w:rPr>
              <w:rFonts w:hint="eastAsia" w:ascii="Times New Roman" w:hAnsi="Times New Roman" w:eastAsia="方正仿宋_GBK"/>
              <w:szCs w:val="28"/>
            </w:rPr>
            <w:t>8</w:t>
          </w:r>
        </w:p>
        <w:p w14:paraId="43B56C78">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"_Toc28162" </w:instrText>
          </w:r>
          <w:r>
            <w:fldChar w:fldCharType="separate"/>
          </w:r>
          <w:r>
            <w:rPr>
              <w:rFonts w:ascii="Times New Roman" w:hAnsi="Times New Roman" w:eastAsia="方正仿宋_GBK"/>
              <w:szCs w:val="28"/>
            </w:rPr>
            <w:t>7.1预案编制</w:t>
          </w:r>
          <w:r>
            <w:rPr>
              <w:rFonts w:ascii="Times New Roman" w:hAnsi="Times New Roman" w:eastAsia="方正仿宋_GBK"/>
              <w:szCs w:val="28"/>
            </w:rPr>
            <w:tab/>
          </w:r>
          <w:r>
            <w:rPr>
              <w:rFonts w:ascii="Times New Roman" w:hAnsi="Times New Roman" w:eastAsia="方正仿宋_GBK"/>
              <w:szCs w:val="28"/>
            </w:rPr>
            <w:t>2</w:t>
          </w:r>
          <w:r>
            <w:rPr>
              <w:rFonts w:ascii="Times New Roman" w:hAnsi="Times New Roman" w:eastAsia="方正仿宋_GBK"/>
              <w:szCs w:val="28"/>
            </w:rPr>
            <w:fldChar w:fldCharType="end"/>
          </w:r>
          <w:r>
            <w:rPr>
              <w:rFonts w:ascii="Times New Roman" w:hAnsi="Times New Roman" w:eastAsia="方正仿宋_GBK"/>
              <w:szCs w:val="28"/>
            </w:rPr>
            <w:t>8</w:t>
          </w:r>
        </w:p>
        <w:p w14:paraId="20FDE0C1">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"_Toc3897" </w:instrText>
          </w:r>
          <w:r>
            <w:fldChar w:fldCharType="separate"/>
          </w:r>
          <w:r>
            <w:rPr>
              <w:rFonts w:ascii="Times New Roman" w:hAnsi="Times New Roman" w:eastAsia="方正仿宋_GBK"/>
              <w:szCs w:val="28"/>
            </w:rPr>
            <w:t>7.2预案审批与衔接</w:t>
          </w:r>
          <w:r>
            <w:rPr>
              <w:rFonts w:ascii="Times New Roman" w:hAnsi="Times New Roman" w:eastAsia="方正仿宋_GBK"/>
              <w:szCs w:val="28"/>
            </w:rPr>
            <w:tab/>
          </w:r>
          <w:r>
            <w:rPr>
              <w:rFonts w:ascii="Times New Roman" w:hAnsi="Times New Roman" w:eastAsia="方正仿宋_GBK"/>
              <w:szCs w:val="28"/>
            </w:rPr>
            <w:t>2</w:t>
          </w:r>
          <w:r>
            <w:rPr>
              <w:rFonts w:ascii="Times New Roman" w:hAnsi="Times New Roman" w:eastAsia="方正仿宋_GBK"/>
              <w:szCs w:val="28"/>
            </w:rPr>
            <w:fldChar w:fldCharType="end"/>
          </w:r>
          <w:r>
            <w:rPr>
              <w:rFonts w:ascii="Times New Roman" w:hAnsi="Times New Roman" w:eastAsia="方正仿宋_GBK"/>
              <w:szCs w:val="28"/>
            </w:rPr>
            <w:t>8</w:t>
          </w:r>
        </w:p>
        <w:p w14:paraId="3A3CAB70">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"_Toc21900" </w:instrText>
          </w:r>
          <w:r>
            <w:fldChar w:fldCharType="separate"/>
          </w:r>
          <w:r>
            <w:rPr>
              <w:rFonts w:ascii="Times New Roman" w:hAnsi="Times New Roman" w:eastAsia="方正仿宋_GBK"/>
              <w:szCs w:val="28"/>
            </w:rPr>
            <w:t>7.3预案演练</w:t>
          </w:r>
          <w:r>
            <w:rPr>
              <w:rFonts w:ascii="Times New Roman" w:hAnsi="Times New Roman" w:eastAsia="方正仿宋_GBK"/>
              <w:szCs w:val="28"/>
            </w:rPr>
            <w:tab/>
          </w:r>
          <w:r>
            <w:rPr>
              <w:rFonts w:ascii="Times New Roman" w:hAnsi="Times New Roman" w:eastAsia="方正仿宋_GBK"/>
              <w:szCs w:val="28"/>
            </w:rPr>
            <w:t>2</w:t>
          </w:r>
          <w:r>
            <w:rPr>
              <w:rFonts w:ascii="Times New Roman" w:hAnsi="Times New Roman" w:eastAsia="方正仿宋_GBK"/>
              <w:szCs w:val="28"/>
            </w:rPr>
            <w:fldChar w:fldCharType="end"/>
          </w:r>
          <w:r>
            <w:rPr>
              <w:rFonts w:ascii="Times New Roman" w:hAnsi="Times New Roman" w:eastAsia="方正仿宋_GBK"/>
              <w:szCs w:val="28"/>
            </w:rPr>
            <w:t>9</w:t>
          </w:r>
        </w:p>
        <w:p w14:paraId="71AA9121">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"_Toc28444" </w:instrText>
          </w:r>
          <w:r>
            <w:fldChar w:fldCharType="separate"/>
          </w:r>
          <w:r>
            <w:rPr>
              <w:rFonts w:ascii="Times New Roman" w:hAnsi="Times New Roman" w:eastAsia="方正仿宋_GBK"/>
              <w:szCs w:val="28"/>
            </w:rPr>
            <w:t>7.4预案评估与修订</w:t>
          </w:r>
          <w:r>
            <w:rPr>
              <w:rFonts w:ascii="Times New Roman" w:hAnsi="Times New Roman" w:eastAsia="方正仿宋_GBK"/>
              <w:szCs w:val="28"/>
            </w:rPr>
            <w:tab/>
          </w:r>
          <w:r>
            <w:rPr>
              <w:rFonts w:ascii="Times New Roman" w:hAnsi="Times New Roman" w:eastAsia="方正仿宋_GBK"/>
              <w:szCs w:val="28"/>
            </w:rPr>
            <w:t>3</w:t>
          </w:r>
          <w:r>
            <w:rPr>
              <w:rFonts w:ascii="Times New Roman" w:hAnsi="Times New Roman" w:eastAsia="方正仿宋_GBK"/>
              <w:szCs w:val="28"/>
            </w:rPr>
            <w:fldChar w:fldCharType="end"/>
          </w:r>
          <w:r>
            <w:rPr>
              <w:rFonts w:ascii="Times New Roman" w:hAnsi="Times New Roman" w:eastAsia="方正仿宋_GBK"/>
              <w:szCs w:val="28"/>
            </w:rPr>
            <w:t>0</w:t>
          </w:r>
        </w:p>
        <w:p w14:paraId="6B06CA24">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"_Toc23939" </w:instrText>
          </w:r>
          <w:r>
            <w:fldChar w:fldCharType="separate"/>
          </w:r>
          <w:r>
            <w:rPr>
              <w:rFonts w:hint="eastAsia" w:ascii="方正黑体_GBK" w:hAnsi="Times New Roman" w:eastAsia="方正黑体_GBK"/>
              <w:szCs w:val="28"/>
            </w:rPr>
            <w:t>8附则</w:t>
          </w:r>
          <w:r>
            <w:rPr>
              <w:rFonts w:ascii="Times New Roman" w:hAnsi="Times New Roman" w:eastAsia="方正仿宋_GBK"/>
              <w:szCs w:val="28"/>
            </w:rPr>
            <w:tab/>
          </w:r>
          <w:r>
            <w:rPr>
              <w:rFonts w:ascii="Times New Roman" w:hAnsi="Times New Roman" w:eastAsia="方正仿宋_GBK"/>
              <w:szCs w:val="28"/>
            </w:rPr>
            <w:t>3</w:t>
          </w:r>
          <w:r>
            <w:rPr>
              <w:rFonts w:ascii="Times New Roman" w:hAnsi="Times New Roman" w:eastAsia="方正仿宋_GBK"/>
              <w:szCs w:val="28"/>
            </w:rPr>
            <w:fldChar w:fldCharType="end"/>
          </w:r>
          <w:r>
            <w:rPr>
              <w:rFonts w:ascii="Times New Roman" w:hAnsi="Times New Roman" w:eastAsia="方正仿宋_GBK"/>
              <w:szCs w:val="28"/>
            </w:rPr>
            <w:t>1</w:t>
          </w:r>
        </w:p>
        <w:p w14:paraId="2902AF36">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"_Toc7930" </w:instrText>
          </w:r>
          <w:r>
            <w:fldChar w:fldCharType="separate"/>
          </w:r>
          <w:r>
            <w:rPr>
              <w:rFonts w:ascii="Times New Roman" w:hAnsi="Times New Roman" w:eastAsia="方正仿宋_GBK"/>
              <w:szCs w:val="28"/>
            </w:rPr>
            <w:t>8.1宣传和培训</w:t>
          </w:r>
          <w:r>
            <w:rPr>
              <w:rFonts w:ascii="Times New Roman" w:hAnsi="Times New Roman" w:eastAsia="方正仿宋_GBK"/>
              <w:szCs w:val="28"/>
            </w:rPr>
            <w:tab/>
          </w:r>
          <w:r>
            <w:rPr>
              <w:rFonts w:ascii="Times New Roman" w:hAnsi="Times New Roman" w:eastAsia="方正仿宋_GBK"/>
              <w:szCs w:val="28"/>
            </w:rPr>
            <w:t>3</w:t>
          </w:r>
          <w:r>
            <w:rPr>
              <w:rFonts w:ascii="Times New Roman" w:hAnsi="Times New Roman" w:eastAsia="方正仿宋_GBK"/>
              <w:szCs w:val="28"/>
            </w:rPr>
            <w:fldChar w:fldCharType="end"/>
          </w:r>
          <w:r>
            <w:rPr>
              <w:rFonts w:ascii="Times New Roman" w:hAnsi="Times New Roman" w:eastAsia="方正仿宋_GBK"/>
              <w:szCs w:val="28"/>
            </w:rPr>
            <w:t>1</w:t>
          </w:r>
        </w:p>
        <w:p w14:paraId="1DB68359">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"_Toc15040" </w:instrText>
          </w:r>
          <w:r>
            <w:fldChar w:fldCharType="separate"/>
          </w:r>
          <w:r>
            <w:rPr>
              <w:rFonts w:ascii="Times New Roman" w:hAnsi="Times New Roman" w:eastAsia="方正仿宋_GBK"/>
              <w:szCs w:val="28"/>
            </w:rPr>
            <w:t>8.2责任与奖惩</w:t>
          </w:r>
          <w:r>
            <w:rPr>
              <w:rFonts w:ascii="Times New Roman" w:hAnsi="Times New Roman" w:eastAsia="方正仿宋_GBK"/>
              <w:szCs w:val="28"/>
            </w:rPr>
            <w:tab/>
          </w:r>
          <w:r>
            <w:rPr>
              <w:rFonts w:ascii="Times New Roman" w:hAnsi="Times New Roman" w:eastAsia="方正仿宋_GBK"/>
              <w:szCs w:val="28"/>
            </w:rPr>
            <w:t>3</w:t>
          </w:r>
          <w:r>
            <w:rPr>
              <w:rFonts w:ascii="Times New Roman" w:hAnsi="Times New Roman" w:eastAsia="方正仿宋_GBK"/>
              <w:szCs w:val="28"/>
            </w:rPr>
            <w:fldChar w:fldCharType="end"/>
          </w:r>
          <w:r>
            <w:rPr>
              <w:rFonts w:ascii="Times New Roman" w:hAnsi="Times New Roman" w:eastAsia="方正仿宋_GBK"/>
              <w:szCs w:val="28"/>
            </w:rPr>
            <w:t>2</w:t>
          </w:r>
        </w:p>
        <w:p w14:paraId="6A89AA5F">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"_Toc29785" </w:instrText>
          </w:r>
          <w:r>
            <w:fldChar w:fldCharType="separate"/>
          </w:r>
          <w:r>
            <w:rPr>
              <w:rFonts w:ascii="Times New Roman" w:hAnsi="Times New Roman" w:eastAsia="方正仿宋_GBK"/>
              <w:szCs w:val="28"/>
            </w:rPr>
            <w:t>8.3实施与监管</w:t>
          </w:r>
          <w:r>
            <w:rPr>
              <w:rFonts w:ascii="Times New Roman" w:hAnsi="Times New Roman" w:eastAsia="方正仿宋_GBK"/>
              <w:szCs w:val="28"/>
            </w:rPr>
            <w:tab/>
          </w:r>
          <w:r>
            <w:rPr>
              <w:rFonts w:ascii="Times New Roman" w:hAnsi="Times New Roman" w:eastAsia="方正仿宋_GBK"/>
              <w:szCs w:val="28"/>
            </w:rPr>
            <w:t>3</w:t>
          </w:r>
          <w:r>
            <w:rPr>
              <w:rFonts w:ascii="Times New Roman" w:hAnsi="Times New Roman" w:eastAsia="方正仿宋_GBK"/>
              <w:szCs w:val="28"/>
            </w:rPr>
            <w:fldChar w:fldCharType="end"/>
          </w:r>
          <w:r>
            <w:rPr>
              <w:rFonts w:ascii="Times New Roman" w:hAnsi="Times New Roman" w:eastAsia="方正仿宋_GBK"/>
              <w:szCs w:val="28"/>
            </w:rPr>
            <w:t>2</w:t>
          </w:r>
        </w:p>
        <w:p w14:paraId="00D8BF36">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"_Toc22657" </w:instrText>
          </w:r>
          <w:r>
            <w:fldChar w:fldCharType="separate"/>
          </w:r>
          <w:r>
            <w:rPr>
              <w:rFonts w:ascii="Times New Roman" w:hAnsi="Times New Roman" w:eastAsia="方正仿宋_GBK"/>
              <w:szCs w:val="28"/>
            </w:rPr>
            <w:t>8.4预案解释部门</w:t>
          </w:r>
          <w:r>
            <w:rPr>
              <w:rFonts w:ascii="Times New Roman" w:hAnsi="Times New Roman" w:eastAsia="方正仿宋_GBK"/>
              <w:szCs w:val="28"/>
            </w:rPr>
            <w:tab/>
          </w:r>
          <w:r>
            <w:rPr>
              <w:rFonts w:ascii="Times New Roman" w:hAnsi="Times New Roman" w:eastAsia="方正仿宋_GBK"/>
              <w:szCs w:val="28"/>
            </w:rPr>
            <w:t>3</w:t>
          </w:r>
          <w:r>
            <w:rPr>
              <w:rFonts w:ascii="Times New Roman" w:hAnsi="Times New Roman" w:eastAsia="方正仿宋_GBK"/>
              <w:szCs w:val="28"/>
            </w:rPr>
            <w:fldChar w:fldCharType="end"/>
          </w:r>
          <w:r>
            <w:rPr>
              <w:rFonts w:ascii="Times New Roman" w:hAnsi="Times New Roman" w:eastAsia="方正仿宋_GBK"/>
              <w:szCs w:val="28"/>
            </w:rPr>
            <w:t>2</w:t>
          </w:r>
        </w:p>
        <w:p w14:paraId="78A67E00">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"_Toc4642" </w:instrText>
          </w:r>
          <w:r>
            <w:fldChar w:fldCharType="separate"/>
          </w:r>
          <w:r>
            <w:rPr>
              <w:rFonts w:ascii="Times New Roman" w:hAnsi="Times New Roman" w:eastAsia="方正仿宋_GBK"/>
              <w:szCs w:val="28"/>
            </w:rPr>
            <w:t>8.5预案实施时间</w:t>
          </w:r>
          <w:r>
            <w:rPr>
              <w:rFonts w:ascii="Times New Roman" w:hAnsi="Times New Roman" w:eastAsia="方正仿宋_GBK"/>
              <w:szCs w:val="28"/>
            </w:rPr>
            <w:tab/>
          </w:r>
          <w:r>
            <w:rPr>
              <w:rFonts w:ascii="Times New Roman" w:hAnsi="Times New Roman" w:eastAsia="方正仿宋_GBK"/>
              <w:szCs w:val="28"/>
            </w:rPr>
            <w:t>3</w:t>
          </w:r>
          <w:r>
            <w:rPr>
              <w:rFonts w:ascii="Times New Roman" w:hAnsi="Times New Roman" w:eastAsia="方正仿宋_GBK"/>
              <w:szCs w:val="28"/>
            </w:rPr>
            <w:fldChar w:fldCharType="end"/>
          </w:r>
          <w:r>
            <w:rPr>
              <w:rFonts w:ascii="Times New Roman" w:hAnsi="Times New Roman" w:eastAsia="方正仿宋_GBK"/>
              <w:szCs w:val="28"/>
            </w:rPr>
            <w:t>2</w:t>
          </w:r>
        </w:p>
        <w:p w14:paraId="2B31F216">
          <w:pPr>
            <w:pStyle w:val="4"/>
            <w:tabs>
              <w:tab w:val="right" w:leader="dot" w:pos="8306"/>
            </w:tabs>
            <w:spacing w:line="540" w:lineRule="exact"/>
            <w:rPr>
              <w:rFonts w:ascii="Times New Roman" w:hAnsi="Times New Roman" w:eastAsia="方正仿宋_GBK"/>
              <w:szCs w:val="28"/>
            </w:rPr>
          </w:pPr>
          <w:r>
            <w:fldChar w:fldCharType="begin"/>
          </w:r>
          <w:r>
            <w:instrText xml:space="preserve"> HYPERLINK \l "_Toc32262" </w:instrText>
          </w:r>
          <w:r>
            <w:fldChar w:fldCharType="separate"/>
          </w:r>
          <w:r>
            <w:rPr>
              <w:rFonts w:ascii="Times New Roman" w:hAnsi="Times New Roman" w:eastAsia="方正仿宋_GBK"/>
              <w:szCs w:val="28"/>
            </w:rPr>
            <w:t>附件1： 洮南市突发事件专项指挥机构和主要牵头部门</w:t>
          </w:r>
          <w:r>
            <w:rPr>
              <w:rFonts w:ascii="Times New Roman" w:hAnsi="Times New Roman" w:eastAsia="方正仿宋_GBK"/>
              <w:szCs w:val="28"/>
            </w:rPr>
            <w:tab/>
          </w:r>
          <w:r>
            <w:rPr>
              <w:rFonts w:ascii="Times New Roman" w:hAnsi="Times New Roman" w:eastAsia="方正仿宋_GBK"/>
              <w:szCs w:val="28"/>
            </w:rPr>
            <w:t>3</w:t>
          </w:r>
          <w:r>
            <w:rPr>
              <w:rFonts w:ascii="Times New Roman" w:hAnsi="Times New Roman" w:eastAsia="方正仿宋_GBK"/>
              <w:szCs w:val="28"/>
            </w:rPr>
            <w:fldChar w:fldCharType="end"/>
          </w:r>
          <w:r>
            <w:rPr>
              <w:rFonts w:ascii="Times New Roman" w:hAnsi="Times New Roman" w:eastAsia="方正仿宋_GBK"/>
              <w:szCs w:val="28"/>
            </w:rPr>
            <w:t>4</w:t>
          </w:r>
        </w:p>
        <w:p w14:paraId="460E8A7F">
          <w:pPr>
            <w:pStyle w:val="3"/>
            <w:spacing w:after="0" w:line="560" w:lineRule="exact"/>
          </w:pPr>
          <w:r>
            <w:rPr>
              <w:rFonts w:ascii="Times New Roman" w:hAnsi="Times New Roman" w:eastAsia="方正仿宋_GBK"/>
              <w:szCs w:val="28"/>
            </w:rPr>
            <w:fldChar w:fldCharType="end"/>
          </w:r>
        </w:p>
      </w:sdtContent>
    </w:sdt>
    <w:p w14:paraId="7C6D4B7F">
      <w:pPr>
        <w:spacing w:line="578" w:lineRule="exact"/>
        <w:rPr>
          <w:rFonts w:ascii="方正黑体_GBK" w:eastAsia="方正黑体_GBK"/>
          <w:sz w:val="32"/>
          <w:szCs w:val="32"/>
        </w:rPr>
      </w:pPr>
    </w:p>
    <w:p w14:paraId="1039B939">
      <w:pPr>
        <w:spacing w:line="578" w:lineRule="exact"/>
        <w:ind w:firstLine="640" w:firstLineChars="200"/>
        <w:rPr>
          <w:rFonts w:ascii="方正黑体_GBK" w:eastAsia="方正黑体_GBK"/>
          <w:sz w:val="32"/>
          <w:szCs w:val="32"/>
        </w:rPr>
      </w:pPr>
    </w:p>
    <w:p w14:paraId="67607FBC">
      <w:pPr>
        <w:spacing w:line="578" w:lineRule="exact"/>
        <w:rPr>
          <w:rFonts w:ascii="方正黑体_GBK" w:eastAsia="方正黑体_GBK"/>
          <w:sz w:val="32"/>
          <w:szCs w:val="32"/>
        </w:rPr>
        <w:sectPr>
          <w:footerReference r:id="rId3" w:type="default"/>
          <w:footerReference r:id="rId4" w:type="even"/>
          <w:pgSz w:w="11906" w:h="16838"/>
          <w:pgMar w:top="2041" w:right="1531" w:bottom="2041" w:left="1531" w:header="851" w:footer="1673" w:gutter="0"/>
          <w:pgNumType w:start="1"/>
          <w:cols w:space="720" w:num="1"/>
          <w:docGrid w:type="lines" w:linePitch="315" w:charSpace="0"/>
        </w:sectPr>
      </w:pPr>
    </w:p>
    <w:p w14:paraId="371A5D98">
      <w:pPr>
        <w:spacing w:line="578" w:lineRule="exact"/>
        <w:ind w:firstLine="640" w:firstLineChars="200"/>
        <w:rPr>
          <w:rFonts w:ascii="方正黑体_GBK" w:eastAsia="方正黑体_GBK"/>
          <w:sz w:val="32"/>
          <w:szCs w:val="32"/>
        </w:rPr>
      </w:pPr>
      <w:r>
        <w:rPr>
          <w:rFonts w:hint="eastAsia" w:ascii="方正黑体_GBK" w:eastAsia="方正黑体_GBK"/>
          <w:sz w:val="32"/>
          <w:szCs w:val="32"/>
        </w:rPr>
        <w:t>1总则</w:t>
      </w:r>
    </w:p>
    <w:p w14:paraId="28C6391A">
      <w:pPr>
        <w:spacing w:line="578" w:lineRule="exact"/>
        <w:ind w:firstLine="640" w:firstLineChars="200"/>
        <w:rPr>
          <w:rFonts w:eastAsia="方正仿宋_GBK"/>
          <w:sz w:val="32"/>
          <w:szCs w:val="32"/>
        </w:rPr>
      </w:pPr>
      <w:r>
        <w:rPr>
          <w:rFonts w:eastAsia="方正仿宋_GBK"/>
          <w:sz w:val="32"/>
          <w:szCs w:val="32"/>
        </w:rPr>
        <w:t>为贯彻落实习近平新时代中国特色社会主义思想，指导全市应急预案体系建设，有效有序应对各类突发事件，维护全市经济和社会安全、平稳、可持续发展，依据《中华人民共和国突发事件应对法》等有关法律法规，及《吉林省突发事件总体应急预案》和《白城市突发事件总体应急预案》修订思想，制定本预案。</w:t>
      </w:r>
    </w:p>
    <w:p w14:paraId="79D0AD99">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1.1适用范围</w:t>
      </w:r>
    </w:p>
    <w:p w14:paraId="4DC81536">
      <w:pPr>
        <w:spacing w:line="578" w:lineRule="exact"/>
        <w:ind w:firstLine="640" w:firstLineChars="200"/>
        <w:rPr>
          <w:rFonts w:eastAsia="方正仿宋_GBK"/>
          <w:sz w:val="32"/>
          <w:szCs w:val="32"/>
        </w:rPr>
      </w:pPr>
      <w:r>
        <w:rPr>
          <w:rFonts w:eastAsia="方正仿宋_GBK"/>
          <w:sz w:val="32"/>
          <w:szCs w:val="32"/>
        </w:rPr>
        <w:t>本预案是洮南市应对各类突发事件的总纲，指导全市突发事件风险防控、应急准备、监测与预警、应急处置与救援以及事后恢复与重建等工作。</w:t>
      </w:r>
    </w:p>
    <w:p w14:paraId="2EEFDA24">
      <w:pPr>
        <w:spacing w:line="578" w:lineRule="exact"/>
        <w:ind w:firstLine="640" w:firstLineChars="200"/>
        <w:rPr>
          <w:rFonts w:eastAsia="方正仿宋_GBK"/>
          <w:sz w:val="32"/>
          <w:szCs w:val="32"/>
        </w:rPr>
      </w:pPr>
      <w:r>
        <w:rPr>
          <w:rFonts w:eastAsia="方正仿宋_GBK"/>
          <w:sz w:val="32"/>
          <w:szCs w:val="32"/>
        </w:rPr>
        <w:t>本预案所称突发事件是指突然发生，造成或者可能造成严重社会危害，需要采取应急处置措施予以应对的自然灾害、事故灾难、公共卫生事件和社会安全事件。</w:t>
      </w:r>
    </w:p>
    <w:p w14:paraId="206BEB4F">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1.2工作原则</w:t>
      </w:r>
    </w:p>
    <w:p w14:paraId="74588A10">
      <w:pPr>
        <w:spacing w:line="578" w:lineRule="exact"/>
        <w:ind w:firstLine="640" w:firstLineChars="200"/>
        <w:rPr>
          <w:rFonts w:eastAsia="方正仿宋_GBK"/>
          <w:sz w:val="32"/>
          <w:szCs w:val="32"/>
        </w:rPr>
      </w:pPr>
      <w:r>
        <w:rPr>
          <w:rFonts w:eastAsia="方正仿宋_GBK"/>
          <w:sz w:val="32"/>
          <w:szCs w:val="32"/>
        </w:rPr>
        <w:t>坚持以人民至上、生命至上的原则。牢固树立生命至上的理念，把确保人民群众生命财产安全放在至高无上的位置，在突发事件应对中以避免和减少人员伤亡为首要出发点，积极预防和最大限度地减少突发事件对人民群众的危害。建立健全党委领导下的应急管理行政领导负责制，把保障公众健康和生命财产安全作为首要任务，最大程度减轻突发事件风险、减少突发事件及其造成的人员伤亡和危害。</w:t>
      </w:r>
    </w:p>
    <w:p w14:paraId="21B1AD39">
      <w:pPr>
        <w:spacing w:line="578" w:lineRule="exact"/>
        <w:ind w:firstLine="640" w:firstLineChars="200"/>
        <w:rPr>
          <w:rFonts w:eastAsia="方正仿宋_GBK"/>
          <w:sz w:val="32"/>
          <w:szCs w:val="32"/>
        </w:rPr>
      </w:pPr>
      <w:r>
        <w:rPr>
          <w:rFonts w:eastAsia="方正仿宋_GBK"/>
          <w:sz w:val="32"/>
          <w:szCs w:val="32"/>
        </w:rPr>
        <w:t>坚持统一领导、协调联动。在市委统一领导下，建立健全统一指挥、专常兼备、反应灵敏、上下联动的应急管理体制。实行行业(领域)部门分类管理、源头防控，充分发挥应急管理部门的综合优势和各相关部门的专业优势，衔接好“防”与“救”的责任链条，确保无缝对接，形成整体合力。</w:t>
      </w:r>
    </w:p>
    <w:p w14:paraId="3323859D">
      <w:pPr>
        <w:spacing w:line="578" w:lineRule="exact"/>
        <w:ind w:firstLine="640" w:firstLineChars="200"/>
        <w:rPr>
          <w:rFonts w:eastAsia="方正仿宋_GBK"/>
          <w:sz w:val="32"/>
          <w:szCs w:val="32"/>
        </w:rPr>
      </w:pPr>
      <w:r>
        <w:rPr>
          <w:rFonts w:eastAsia="方正仿宋_GBK"/>
          <w:sz w:val="32"/>
          <w:szCs w:val="32"/>
        </w:rPr>
        <w:t>坚持分级负责、属地为主。市委市政府统筹指导，协调全市资源支持事发地。事发地政府在同级党委领导下组织应对工作，及时启动应急响应，统一调度使用应急资源。注重组织动员社会力量广泛参与，加强指挥协同。</w:t>
      </w:r>
    </w:p>
    <w:p w14:paraId="37EBEB43">
      <w:pPr>
        <w:spacing w:line="578" w:lineRule="exact"/>
        <w:ind w:firstLine="640" w:firstLineChars="200"/>
        <w:rPr>
          <w:rFonts w:eastAsia="方正仿宋_GBK"/>
          <w:sz w:val="32"/>
          <w:szCs w:val="32"/>
        </w:rPr>
      </w:pPr>
      <w:r>
        <w:rPr>
          <w:rFonts w:eastAsia="方正仿宋_GBK"/>
          <w:sz w:val="32"/>
          <w:szCs w:val="32"/>
        </w:rPr>
        <w:t>坚持快速反应、高效处置。建立健全以国家综合性消防救援队伍为主力、以军队应急力量为突击、以专业应急力量为骨干、以社会应急力量为辅助的应急力量体系，健全完善各类力量快速反应、联动协调机制，高效应对各类突发事件。</w:t>
      </w:r>
    </w:p>
    <w:p w14:paraId="4367C193">
      <w:pPr>
        <w:spacing w:line="578" w:lineRule="exact"/>
        <w:ind w:firstLine="640" w:firstLineChars="200"/>
        <w:rPr>
          <w:rFonts w:eastAsia="方正仿宋_GBK"/>
          <w:sz w:val="32"/>
          <w:szCs w:val="32"/>
        </w:rPr>
      </w:pPr>
      <w:r>
        <w:rPr>
          <w:rFonts w:eastAsia="方正仿宋_GBK"/>
          <w:sz w:val="32"/>
          <w:szCs w:val="32"/>
        </w:rPr>
        <w:t>坚持依法规范、科技支撑。依据有关法律和行政法规，维护公众合法权益，提高突发事件应对工作法治化、规范化水平。充分发挥专家队伍和专业人员作用，强化应急管理装备技术支撑，优化整合各类科技资源，提高应急管理的科学化、专业化、智能化、精细化水平。</w:t>
      </w:r>
    </w:p>
    <w:p w14:paraId="6889A715">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1.3事件分类分级</w:t>
      </w:r>
    </w:p>
    <w:p w14:paraId="7778BE70">
      <w:pPr>
        <w:spacing w:line="578" w:lineRule="exact"/>
        <w:ind w:firstLine="640" w:firstLineChars="200"/>
        <w:rPr>
          <w:rFonts w:eastAsia="方正仿宋_GBK"/>
          <w:sz w:val="32"/>
          <w:szCs w:val="32"/>
        </w:rPr>
      </w:pPr>
      <w:r>
        <w:rPr>
          <w:rFonts w:eastAsia="方正仿宋_GBK"/>
          <w:sz w:val="32"/>
          <w:szCs w:val="32"/>
        </w:rPr>
        <w:t>突发事件主要包括以下类别：</w:t>
      </w:r>
    </w:p>
    <w:p w14:paraId="55237F65">
      <w:pPr>
        <w:spacing w:line="578" w:lineRule="exact"/>
        <w:ind w:firstLine="640" w:firstLineChars="200"/>
        <w:rPr>
          <w:rFonts w:eastAsia="方正仿宋_GBK"/>
          <w:sz w:val="32"/>
          <w:szCs w:val="32"/>
        </w:rPr>
      </w:pPr>
      <w:r>
        <w:rPr>
          <w:rFonts w:eastAsia="方正仿宋_GBK"/>
          <w:sz w:val="32"/>
          <w:szCs w:val="32"/>
        </w:rPr>
        <w:t>（1）自然灾害。主要包括水旱灾害、气象灾害、地震灾害、地质灾害、生物灾害和森林草原火灾等。</w:t>
      </w:r>
    </w:p>
    <w:p w14:paraId="5CFF7B51">
      <w:pPr>
        <w:spacing w:line="578" w:lineRule="exact"/>
        <w:ind w:firstLine="640" w:firstLineChars="200"/>
        <w:rPr>
          <w:rFonts w:eastAsia="方正仿宋_GBK"/>
          <w:sz w:val="32"/>
          <w:szCs w:val="32"/>
        </w:rPr>
      </w:pPr>
      <w:r>
        <w:rPr>
          <w:rFonts w:eastAsia="方正仿宋_GBK"/>
          <w:sz w:val="32"/>
          <w:szCs w:val="32"/>
        </w:rPr>
        <w:t>（2）事故灾难。主要包括危险化学品、工矿商贸等企业的各类生产安全事故，及交通运输事故（道路交通事故、水上交通事故、铁路交通事故等）、公共设施和设备事故、核与辐射事故、环境污染和生态破坏事件等。</w:t>
      </w:r>
    </w:p>
    <w:p w14:paraId="27CCC02A">
      <w:pPr>
        <w:spacing w:line="578" w:lineRule="exact"/>
        <w:ind w:firstLine="640" w:firstLineChars="200"/>
        <w:rPr>
          <w:rFonts w:eastAsia="方正仿宋_GBK"/>
          <w:sz w:val="32"/>
          <w:szCs w:val="32"/>
        </w:rPr>
      </w:pPr>
      <w:r>
        <w:rPr>
          <w:rFonts w:eastAsia="方正仿宋_GBK"/>
          <w:sz w:val="32"/>
          <w:szCs w:val="32"/>
        </w:rPr>
        <w:t>（3）公共卫生事件。主要包括传染病疫情、群体性不明原因疾病，及食品和药品安全事件、动物疫情以及其他严重影响公众健康和生命安全的事件等。</w:t>
      </w:r>
    </w:p>
    <w:p w14:paraId="619EC4DC">
      <w:pPr>
        <w:spacing w:line="578" w:lineRule="exact"/>
        <w:ind w:firstLine="640" w:firstLineChars="200"/>
        <w:rPr>
          <w:rFonts w:eastAsia="方正仿宋_GBK"/>
          <w:sz w:val="32"/>
          <w:szCs w:val="32"/>
        </w:rPr>
      </w:pPr>
      <w:r>
        <w:rPr>
          <w:rFonts w:eastAsia="方正仿宋_GBK"/>
          <w:sz w:val="32"/>
          <w:szCs w:val="32"/>
        </w:rPr>
        <w:t>（4）社会安全事件。主要包括恐怖袭击事件、刑事案件、群体性事件、油气供应中断事件、金融突发事件、涉外突发事件、民族宗教事件、舆情突发事件、网络安全事件等。</w:t>
      </w:r>
    </w:p>
    <w:p w14:paraId="7D33D980">
      <w:pPr>
        <w:spacing w:line="578" w:lineRule="exact"/>
        <w:ind w:firstLine="640" w:firstLineChars="200"/>
        <w:rPr>
          <w:rFonts w:eastAsia="方正仿宋_GBK"/>
          <w:sz w:val="32"/>
          <w:szCs w:val="32"/>
        </w:rPr>
      </w:pPr>
      <w:r>
        <w:rPr>
          <w:rFonts w:eastAsia="方正仿宋_GBK"/>
          <w:sz w:val="32"/>
          <w:szCs w:val="32"/>
        </w:rPr>
        <w:t>突发事件按其性质、造成损失、危害程度、可控性和影响范围等因素，一般分为四级：特别重大突发事件、重大突发事件、较大突发事件和一般突发事件，各类突发事件分级标准在相应市级专项应急预案、部门应急预案中予以明确。</w:t>
      </w:r>
    </w:p>
    <w:p w14:paraId="7AE48340">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1.4事件分级应对</w:t>
      </w:r>
    </w:p>
    <w:p w14:paraId="2B9DB9C4">
      <w:pPr>
        <w:spacing w:line="578" w:lineRule="exact"/>
        <w:ind w:firstLine="640" w:firstLineChars="200"/>
        <w:rPr>
          <w:rFonts w:eastAsia="方正仿宋_GBK"/>
          <w:sz w:val="32"/>
          <w:szCs w:val="32"/>
        </w:rPr>
      </w:pPr>
      <w:r>
        <w:rPr>
          <w:rFonts w:eastAsia="方正仿宋_GBK"/>
          <w:sz w:val="32"/>
          <w:szCs w:val="32"/>
        </w:rPr>
        <w:t>突发事件应对遵循分级负责、属地为主、分类应对、协调联动的原则。当突发事件超出属地政府的应对能力时，由上一级政府提供支援或者负责应对。初判发生特别重大和重大突发事件，由省级牵头应对时，市级做好先期处置和相关配合工作，初判为较大突发事件时，由白城市政府负责应对。一般突发事件由市本级政府负责应对。涉及跨行政区域的，由市政府和事涉政府共同负责应对。</w:t>
      </w:r>
    </w:p>
    <w:p w14:paraId="42842B62">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1.5响应分级</w:t>
      </w:r>
    </w:p>
    <w:p w14:paraId="0F6F2B7A">
      <w:pPr>
        <w:spacing w:line="578" w:lineRule="exact"/>
        <w:ind w:firstLine="640" w:firstLineChars="200"/>
        <w:rPr>
          <w:rFonts w:ascii="方正楷体_GBK" w:eastAsia="方正楷体_GBK"/>
          <w:sz w:val="32"/>
          <w:szCs w:val="32"/>
        </w:rPr>
      </w:pPr>
      <w:r>
        <w:rPr>
          <w:rFonts w:eastAsia="方正仿宋_GBK"/>
          <w:sz w:val="32"/>
          <w:szCs w:val="32"/>
        </w:rPr>
        <w:t>突发事件发生后，各乡</w:t>
      </w:r>
      <w:r>
        <w:rPr>
          <w:rFonts w:hint="eastAsia" w:eastAsia="方正仿宋_GBK"/>
          <w:sz w:val="32"/>
          <w:szCs w:val="32"/>
        </w:rPr>
        <w:t>（镇）</w:t>
      </w:r>
      <w:r>
        <w:rPr>
          <w:rFonts w:eastAsia="方正仿宋_GBK"/>
          <w:sz w:val="32"/>
          <w:szCs w:val="32"/>
        </w:rPr>
        <w:t>人民政府、街道办事处及有关部门、基层组织和单位等根据突发事件初判级别、处置难度、自有处置能力以及预期后果，综合研判确定本层级响应级别，采取相应应急处置措施。</w:t>
      </w:r>
    </w:p>
    <w:p w14:paraId="2B752658">
      <w:pPr>
        <w:spacing w:line="578" w:lineRule="exact"/>
        <w:ind w:firstLine="640" w:firstLineChars="200"/>
        <w:rPr>
          <w:rFonts w:ascii="方正楷体_GBK" w:eastAsia="方正楷体_GBK"/>
          <w:sz w:val="32"/>
          <w:szCs w:val="32"/>
        </w:rPr>
      </w:pPr>
      <w:r>
        <w:rPr>
          <w:rFonts w:eastAsia="方正仿宋_GBK"/>
          <w:sz w:val="32"/>
          <w:szCs w:val="32"/>
        </w:rPr>
        <w:t>发生一般突发事件，市政府立即启动应急响应，对涉及面广、敏感复杂或处置不当易引发严重后果的一般突发事件，根据应对工作需要，可视情况报请白城市政府启动应急响应。</w:t>
      </w:r>
    </w:p>
    <w:p w14:paraId="16DECB66">
      <w:pPr>
        <w:spacing w:line="578" w:lineRule="exact"/>
        <w:ind w:firstLine="640" w:firstLineChars="200"/>
        <w:rPr>
          <w:rFonts w:ascii="方正楷体_GBK" w:eastAsia="方正楷体_GBK"/>
          <w:sz w:val="32"/>
          <w:szCs w:val="32"/>
        </w:rPr>
      </w:pPr>
      <w:r>
        <w:rPr>
          <w:rFonts w:eastAsia="方正仿宋_GBK"/>
          <w:sz w:val="32"/>
          <w:szCs w:val="32"/>
        </w:rPr>
        <w:t>发生特别重大、重大、较大突发事件，市政府立即启动应急响应，并报请白城市政府启动应急响应。</w:t>
      </w:r>
    </w:p>
    <w:p w14:paraId="4F52A7FE">
      <w:pPr>
        <w:spacing w:line="578" w:lineRule="exact"/>
        <w:ind w:firstLine="640" w:firstLineChars="200"/>
        <w:rPr>
          <w:rFonts w:ascii="方正楷体_GBK" w:eastAsia="方正楷体_GBK"/>
          <w:sz w:val="32"/>
          <w:szCs w:val="32"/>
        </w:rPr>
      </w:pPr>
      <w:r>
        <w:rPr>
          <w:rFonts w:eastAsia="方正仿宋_GBK"/>
          <w:sz w:val="32"/>
          <w:szCs w:val="32"/>
        </w:rPr>
        <w:t>对于事件本身比较敏感，或发生在重点地区、重要时期、重大活动中，可适当提高响应级别。应急响应启动后，可视突发事件事态发展情况及时调整响应级别。</w:t>
      </w:r>
    </w:p>
    <w:p w14:paraId="63488816">
      <w:pPr>
        <w:spacing w:line="578" w:lineRule="exact"/>
        <w:ind w:firstLine="640" w:firstLineChars="200"/>
        <w:rPr>
          <w:rFonts w:ascii="方正楷体_GBK" w:eastAsia="方正楷体_GBK"/>
          <w:sz w:val="32"/>
          <w:szCs w:val="32"/>
        </w:rPr>
      </w:pPr>
      <w:r>
        <w:rPr>
          <w:rFonts w:eastAsia="方正仿宋_GBK"/>
          <w:sz w:val="32"/>
          <w:szCs w:val="32"/>
        </w:rPr>
        <w:t>突发事件应对实行总指挥负责制，其中一级应急响应由市委、市政府主要领导决定启动并担任总指挥，二级应急响应由市委、市政府分管领导决定启动并担任总指挥，三级、四级应急响应由市委、市政府分管领导决定启动，市委、市政府指定的负责同志担任总指挥。市级应急响应具体分级级别设定和标准，在市级专项应急预案、部门应急预案中予以明确，并与白城市总体预案、专项预案、部门预案做好衔接。</w:t>
      </w:r>
    </w:p>
    <w:p w14:paraId="272FD9B5">
      <w:pPr>
        <w:spacing w:line="578" w:lineRule="exact"/>
        <w:ind w:firstLine="640" w:firstLineChars="200"/>
        <w:rPr>
          <w:rFonts w:ascii="方正楷体_GBK" w:eastAsia="方正楷体_GBK"/>
          <w:sz w:val="32"/>
          <w:szCs w:val="32"/>
        </w:rPr>
      </w:pPr>
      <w:r>
        <w:rPr>
          <w:rFonts w:eastAsia="方正仿宋_GBK"/>
          <w:sz w:val="32"/>
          <w:szCs w:val="32"/>
        </w:rPr>
        <w:t>乡</w:t>
      </w:r>
      <w:r>
        <w:rPr>
          <w:rFonts w:hint="eastAsia" w:eastAsia="方正仿宋_GBK"/>
          <w:sz w:val="32"/>
          <w:szCs w:val="32"/>
        </w:rPr>
        <w:t>（镇）</w:t>
      </w:r>
      <w:r>
        <w:rPr>
          <w:rFonts w:eastAsia="方正仿宋_GBK"/>
          <w:sz w:val="32"/>
          <w:szCs w:val="32"/>
        </w:rPr>
        <w:t>人民政府、街道办事处应急响应级别由各乡</w:t>
      </w:r>
      <w:r>
        <w:rPr>
          <w:rFonts w:hint="eastAsia" w:eastAsia="方正仿宋_GBK"/>
          <w:sz w:val="32"/>
          <w:szCs w:val="32"/>
        </w:rPr>
        <w:t>（镇）</w:t>
      </w:r>
      <w:r>
        <w:rPr>
          <w:rFonts w:eastAsia="方正仿宋_GBK"/>
          <w:sz w:val="32"/>
          <w:szCs w:val="32"/>
        </w:rPr>
        <w:t>人民政府、街道办事处结合本地实际情况予以明确，并与市级应急响应级别设置做好衔接。</w:t>
      </w:r>
    </w:p>
    <w:p w14:paraId="37066819">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1.6应急预案体系</w:t>
      </w:r>
    </w:p>
    <w:p w14:paraId="1BBA2084">
      <w:pPr>
        <w:spacing w:line="578" w:lineRule="exact"/>
        <w:ind w:firstLine="640" w:firstLineChars="200"/>
        <w:rPr>
          <w:rFonts w:eastAsia="方正仿宋_GBK"/>
          <w:sz w:val="32"/>
          <w:szCs w:val="32"/>
        </w:rPr>
      </w:pPr>
      <w:r>
        <w:rPr>
          <w:rFonts w:eastAsia="方正仿宋_GBK"/>
          <w:sz w:val="32"/>
          <w:szCs w:val="32"/>
        </w:rPr>
        <w:t>应急预案体系包括</w:t>
      </w:r>
      <w:r>
        <w:rPr>
          <w:rFonts w:hint="eastAsia" w:eastAsia="方正仿宋_GBK"/>
          <w:sz w:val="32"/>
          <w:szCs w:val="32"/>
        </w:rPr>
        <w:t>市</w:t>
      </w:r>
      <w:r>
        <w:rPr>
          <w:rFonts w:eastAsia="方正仿宋_GBK"/>
          <w:sz w:val="32"/>
          <w:szCs w:val="32"/>
        </w:rPr>
        <w:t>政府及其部门、基层组织和单位制定的各类突发事件应急预案，以及为应急预案提供支撑的工作手册和事件行动方案。</w:t>
      </w:r>
    </w:p>
    <w:p w14:paraId="46D46739">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1.6.1应急预案</w:t>
      </w:r>
    </w:p>
    <w:p w14:paraId="48844FB8">
      <w:pPr>
        <w:spacing w:line="578" w:lineRule="exact"/>
        <w:ind w:firstLine="640" w:firstLineChars="200"/>
        <w:rPr>
          <w:rFonts w:eastAsia="方正仿宋_GBK"/>
          <w:sz w:val="32"/>
          <w:szCs w:val="32"/>
        </w:rPr>
      </w:pPr>
      <w:r>
        <w:rPr>
          <w:rFonts w:eastAsia="方正仿宋_GBK"/>
          <w:sz w:val="32"/>
          <w:szCs w:val="32"/>
        </w:rPr>
        <w:t>市政府及其部门应急预案包括总体应急预案、专项应急预案、部门应急预案等。其中，总体应急预案是应急预案体系的总纲，是本级政府组织应对各类突发事件的总体制度安排，由市政府制定。专项应急预案是为应对涉及面广、情况复杂的某一类型突发事件或针对应急保障，预先制定的涉及多个部门（单位）职责的工作方案，由有关部门牵头制订，报市政府批准后印发实施。部门应急预案是有关部门为应对本部门（行业、领域）某一类型突发事件，或者针对应急资源保障等涉及部门工作而预先制定的工作方案，由各部门制定。乡镇（街道）根据实际情况研究制订本级应急预案。</w:t>
      </w:r>
    </w:p>
    <w:p w14:paraId="6F8E7235">
      <w:pPr>
        <w:spacing w:line="578" w:lineRule="exact"/>
        <w:ind w:firstLine="640" w:firstLineChars="200"/>
        <w:rPr>
          <w:rFonts w:eastAsia="方正仿宋_GBK"/>
          <w:sz w:val="32"/>
          <w:szCs w:val="32"/>
        </w:rPr>
      </w:pPr>
      <w:r>
        <w:rPr>
          <w:rFonts w:eastAsia="方正仿宋_GBK"/>
          <w:sz w:val="32"/>
          <w:szCs w:val="32"/>
        </w:rPr>
        <w:t>基层组织和单位应急预案由机关、企业、事业单位、社会组织和社区、村等法人和基层组织制定，主要针对本单位和基层组织面临的风险，规范突发事件应对内部工作。</w:t>
      </w:r>
    </w:p>
    <w:p w14:paraId="524BF06E">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1.6.2应急预案支撑性文件</w:t>
      </w:r>
    </w:p>
    <w:p w14:paraId="21C82EC7">
      <w:pPr>
        <w:spacing w:line="578" w:lineRule="exact"/>
        <w:ind w:firstLine="640" w:firstLineChars="200"/>
        <w:rPr>
          <w:rFonts w:eastAsia="方正仿宋_GBK"/>
          <w:sz w:val="32"/>
          <w:szCs w:val="32"/>
        </w:rPr>
      </w:pPr>
      <w:r>
        <w:rPr>
          <w:rFonts w:eastAsia="方正仿宋_GBK"/>
          <w:sz w:val="32"/>
          <w:szCs w:val="32"/>
        </w:rPr>
        <w:t>各类应急预案中涉及的相关单位要结合实际，制定配套的应急工作手册、事件行动方案等多种形式支撑文件，提高应急预案针对性、操作性。</w:t>
      </w:r>
    </w:p>
    <w:p w14:paraId="4924B9EC">
      <w:pPr>
        <w:spacing w:line="578" w:lineRule="exact"/>
        <w:ind w:firstLine="640" w:firstLineChars="200"/>
        <w:rPr>
          <w:rFonts w:eastAsia="方正仿宋_GBK"/>
          <w:sz w:val="32"/>
          <w:szCs w:val="32"/>
        </w:rPr>
      </w:pPr>
      <w:r>
        <w:rPr>
          <w:rFonts w:eastAsia="方正仿宋_GBK"/>
          <w:sz w:val="32"/>
          <w:szCs w:val="32"/>
        </w:rPr>
        <w:t>应急工作手册是预案涉及的有关部门和单位对自身承担职责任务进一步分解细化的工作安排，是本单位应对突发事件的工作指南。应急预案涉及的有关部门和单位要编制相应工作手册，要把每一项职责任务细化、具体化，明确工作内容和流程，并落实到具体责任单位、具体责任人。基层组织和单位应急预案涉及有关方面根据自身实际情况，可单独编制工作手册，也可将有关内容融入预案，合并编制。</w:t>
      </w:r>
    </w:p>
    <w:p w14:paraId="3CE6E2F4">
      <w:pPr>
        <w:spacing w:line="578" w:lineRule="exact"/>
        <w:ind w:firstLine="640" w:firstLineChars="200"/>
        <w:rPr>
          <w:rFonts w:eastAsia="方正仿宋_GBK"/>
          <w:sz w:val="32"/>
          <w:szCs w:val="32"/>
        </w:rPr>
      </w:pPr>
      <w:r>
        <w:rPr>
          <w:rFonts w:eastAsia="方正仿宋_GBK"/>
          <w:sz w:val="32"/>
          <w:szCs w:val="32"/>
        </w:rPr>
        <w:t>事件行动方案是参与突发事件应对的救援队伍、专家队伍等按照应急预案、应急工作手册或上级指挥机构要求，为执行具体任务并结合实际情况而制定的工作方案。事件行动方案要明确队伍编成、指挥协同、力量投送、战勤保障、通信联络等具体内容，以及采取的具体对策措施和实施步骤。</w:t>
      </w:r>
    </w:p>
    <w:p w14:paraId="4C580532">
      <w:pPr>
        <w:spacing w:line="578" w:lineRule="exact"/>
        <w:ind w:firstLine="640" w:firstLineChars="200"/>
        <w:rPr>
          <w:rFonts w:ascii="方正黑体_GBK" w:eastAsia="方正黑体_GBK"/>
          <w:sz w:val="32"/>
          <w:szCs w:val="32"/>
        </w:rPr>
      </w:pPr>
      <w:r>
        <w:rPr>
          <w:rFonts w:hint="eastAsia" w:ascii="方正黑体_GBK" w:eastAsia="方正黑体_GBK"/>
          <w:sz w:val="32"/>
          <w:szCs w:val="32"/>
        </w:rPr>
        <w:t>2组织指挥体系</w:t>
      </w:r>
    </w:p>
    <w:p w14:paraId="16E1131F">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2.1市组织指挥机构</w:t>
      </w:r>
    </w:p>
    <w:p w14:paraId="4A200331">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2.1.1领导机制</w:t>
      </w:r>
    </w:p>
    <w:p w14:paraId="1F47B091">
      <w:pPr>
        <w:spacing w:line="578" w:lineRule="exact"/>
        <w:ind w:firstLine="640" w:firstLineChars="200"/>
        <w:rPr>
          <w:rFonts w:eastAsia="方正仿宋_GBK"/>
          <w:sz w:val="32"/>
          <w:szCs w:val="32"/>
        </w:rPr>
      </w:pPr>
      <w:r>
        <w:rPr>
          <w:rFonts w:eastAsia="方正仿宋_GBK"/>
          <w:sz w:val="32"/>
          <w:szCs w:val="32"/>
        </w:rPr>
        <w:t>在市委统一领导下，市政府负责全市范围内突发事件应对工作，贯彻落实党中央、国务院、省委、省政府、</w:t>
      </w:r>
      <w:r>
        <w:rPr>
          <w:rFonts w:hint="eastAsia" w:eastAsia="方正仿宋_GBK"/>
          <w:sz w:val="32"/>
          <w:szCs w:val="32"/>
        </w:rPr>
        <w:t>白城</w:t>
      </w:r>
      <w:r>
        <w:rPr>
          <w:rFonts w:eastAsia="方正仿宋_GBK"/>
          <w:sz w:val="32"/>
          <w:szCs w:val="32"/>
        </w:rPr>
        <w:t>市委</w:t>
      </w:r>
      <w:r>
        <w:rPr>
          <w:rFonts w:hint="eastAsia" w:eastAsia="方正仿宋_GBK"/>
          <w:sz w:val="32"/>
          <w:szCs w:val="32"/>
        </w:rPr>
        <w:t>、白城市政府</w:t>
      </w:r>
      <w:r>
        <w:rPr>
          <w:rFonts w:eastAsia="方正仿宋_GBK"/>
          <w:sz w:val="32"/>
          <w:szCs w:val="32"/>
        </w:rPr>
        <w:t>关于应急管理的决策部署，统筹制定全市应急管理政策措施，研究解决应急体系建设规划、风险防控、预防与应急准备、监测与预警、应急处置与救援、事后恢复与重建、考核与评估等重大问题，组织防范和应对各类突发事件。</w:t>
      </w:r>
    </w:p>
    <w:p w14:paraId="74E2D6E4">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2.1.2市专项指挥机构</w:t>
      </w:r>
    </w:p>
    <w:p w14:paraId="2547C16E">
      <w:pPr>
        <w:spacing w:line="578" w:lineRule="exact"/>
        <w:ind w:firstLine="640" w:firstLineChars="200"/>
        <w:rPr>
          <w:rFonts w:eastAsia="方正仿宋_GBK"/>
          <w:sz w:val="32"/>
          <w:szCs w:val="32"/>
        </w:rPr>
      </w:pPr>
      <w:r>
        <w:rPr>
          <w:rFonts w:eastAsia="方正仿宋_GBK"/>
          <w:sz w:val="32"/>
          <w:szCs w:val="32"/>
        </w:rPr>
        <w:t>各类突发事件指挥协调和组织应对工作由相应市级议事协调机构，或视情设立的市级专项应急指挥机构负责。市级议事协调机构构成在市政府办公室印发的文件中予以明确，视情设立的市级专项应急指挥机构构成在相应市级专项应急预案，或有关部门（机构）印发的文件中予以明确。</w:t>
      </w:r>
    </w:p>
    <w:p w14:paraId="2BBBED8E">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2.1.3市工作机构</w:t>
      </w:r>
    </w:p>
    <w:p w14:paraId="03021DA9">
      <w:pPr>
        <w:spacing w:line="578" w:lineRule="exact"/>
        <w:ind w:firstLine="640" w:firstLineChars="200"/>
        <w:rPr>
          <w:rFonts w:eastAsia="方正仿宋_GBK"/>
          <w:sz w:val="32"/>
          <w:szCs w:val="32"/>
        </w:rPr>
      </w:pPr>
      <w:r>
        <w:rPr>
          <w:rFonts w:eastAsia="方正仿宋_GBK"/>
          <w:sz w:val="32"/>
          <w:szCs w:val="32"/>
        </w:rPr>
        <w:t>市级有关部门按照职责分工负责相关突发事件应急管理工作，承担相关类别突发事件专项和部门应急预案的起草与实施，组织协调指导风险防控、应急准备、监测预警、应急处置与救援、资源保障、恢复与重建等工作。承担相关应急指挥机构综合工作。</w:t>
      </w:r>
    </w:p>
    <w:p w14:paraId="23EA1B4B">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2.1.4市现场指挥部</w:t>
      </w:r>
    </w:p>
    <w:p w14:paraId="588A4CEC">
      <w:pPr>
        <w:spacing w:line="578" w:lineRule="exact"/>
        <w:ind w:firstLine="640" w:firstLineChars="200"/>
        <w:rPr>
          <w:rFonts w:eastAsia="方正仿宋_GBK"/>
          <w:sz w:val="32"/>
          <w:szCs w:val="32"/>
        </w:rPr>
      </w:pPr>
      <w:r>
        <w:rPr>
          <w:rFonts w:eastAsia="方正仿宋_GBK"/>
          <w:sz w:val="32"/>
          <w:szCs w:val="32"/>
        </w:rPr>
        <w:t>突发事件发生后，市委市政府、市专项指挥机构应根据情况设立市现场指挥部，市委市政府、市专项指挥机构亦可依据事发地请求、市相关部门建议或根据实际工作需要决定设立市现场指挥部，赶赴现场统一指挥应对处置工作。市现场指挥部总指挥由市领导担任或由市委市政府、市专项指挥机构指定的负责同志担任，成员视情况可由相关部门、军队、武警和有关单位人员等担任。根据工作需要，市现场指挥部可以下设若干个工作组。市现场指挥部作为市委市政府或市专项指挥机构的派出机构，直接对市委市政府或市专项指挥机构负责。市现场指挥部实行总指挥负责制，按照市委市政府或市专项指挥机构的授权组织制定并实施现场应急处置方案，指挥、协调有关单位和个人参加现场应急处置。参加现场应急处置的单位和个人应当服从市现场指挥部的统一指挥。市现场指挥部设立后，如果先期市委市政府或市专项指挥机构已经派出市工作指导组，则市工作指导组并入市现场指挥部。切实加强党对应急指挥工作的领导，市现场指挥部按照有关规定和要求，开展思想政治工作，发挥战斗堡垒作用。</w:t>
      </w:r>
    </w:p>
    <w:p w14:paraId="3C226691">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2.2乡（镇）人民政府、街道办事处组织机构</w:t>
      </w:r>
    </w:p>
    <w:p w14:paraId="7DA67FE0">
      <w:pPr>
        <w:spacing w:line="578" w:lineRule="exact"/>
        <w:ind w:firstLine="640" w:firstLineChars="200"/>
        <w:rPr>
          <w:rFonts w:eastAsia="方正仿宋_GBK"/>
          <w:sz w:val="32"/>
          <w:szCs w:val="32"/>
        </w:rPr>
      </w:pPr>
      <w:r>
        <w:rPr>
          <w:rFonts w:eastAsia="方正仿宋_GBK"/>
          <w:sz w:val="32"/>
          <w:szCs w:val="32"/>
        </w:rPr>
        <w:t>各乡</w:t>
      </w:r>
      <w:r>
        <w:rPr>
          <w:rFonts w:hint="eastAsia" w:eastAsia="方正仿宋_GBK"/>
          <w:sz w:val="32"/>
          <w:szCs w:val="32"/>
        </w:rPr>
        <w:t>（镇）</w:t>
      </w:r>
      <w:r>
        <w:rPr>
          <w:rFonts w:eastAsia="方正仿宋_GBK"/>
          <w:sz w:val="32"/>
          <w:szCs w:val="32"/>
        </w:rPr>
        <w:t>人民政府、街道办事处应当参照市级组织机构，结合本地实际，明确本级突发事件应对的组织机构，进一步完善应急管理领导体制和突发事件应急指挥机制等。</w:t>
      </w:r>
    </w:p>
    <w:p w14:paraId="18C62B98">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2.3专家组</w:t>
      </w:r>
    </w:p>
    <w:p w14:paraId="4D88D81F">
      <w:pPr>
        <w:spacing w:line="578" w:lineRule="exact"/>
        <w:ind w:firstLine="640" w:firstLineChars="200"/>
        <w:rPr>
          <w:rFonts w:eastAsia="方正仿宋_GBK"/>
          <w:sz w:val="32"/>
          <w:szCs w:val="32"/>
        </w:rPr>
      </w:pPr>
      <w:r>
        <w:rPr>
          <w:rFonts w:eastAsia="方正仿宋_GBK"/>
          <w:sz w:val="32"/>
          <w:szCs w:val="32"/>
        </w:rPr>
        <w:t>各专项指挥机构应当建立突发事件防范应对专家库，根据需要抽调有关专家组成专家组，为突发事件预防与应急准备、应急处置和救援、调查评估等工作提供技术支持。应急管理部门会同有关部门和单位建立本级应急管理专家委员会，研究应急管理重大问题，提出全局性、前瞻性政策措施建议。</w:t>
      </w:r>
    </w:p>
    <w:p w14:paraId="67A1376D">
      <w:pPr>
        <w:spacing w:line="578" w:lineRule="exact"/>
        <w:ind w:firstLine="640" w:firstLineChars="200"/>
        <w:rPr>
          <w:rFonts w:ascii="方正黑体_GBK" w:eastAsia="方正黑体_GBK"/>
          <w:sz w:val="32"/>
          <w:szCs w:val="32"/>
        </w:rPr>
      </w:pPr>
      <w:r>
        <w:rPr>
          <w:rFonts w:hint="eastAsia" w:ascii="方正黑体_GBK" w:eastAsia="方正黑体_GBK"/>
          <w:sz w:val="32"/>
          <w:szCs w:val="32"/>
        </w:rPr>
        <w:t>3风险防控与监测预警</w:t>
      </w:r>
    </w:p>
    <w:p w14:paraId="54933285">
      <w:pPr>
        <w:spacing w:line="578" w:lineRule="exact"/>
        <w:ind w:firstLine="640" w:firstLineChars="200"/>
        <w:rPr>
          <w:rFonts w:ascii="方正黑体_GBK" w:eastAsia="方正黑体_GBK"/>
          <w:sz w:val="32"/>
          <w:szCs w:val="32"/>
        </w:rPr>
      </w:pPr>
      <w:r>
        <w:rPr>
          <w:rFonts w:eastAsia="方正仿宋_GBK"/>
          <w:sz w:val="32"/>
          <w:szCs w:val="32"/>
        </w:rPr>
        <w:t>各乡</w:t>
      </w:r>
      <w:r>
        <w:rPr>
          <w:rFonts w:hint="eastAsia" w:eastAsia="方正仿宋_GBK"/>
          <w:sz w:val="32"/>
          <w:szCs w:val="32"/>
        </w:rPr>
        <w:t>（镇）</w:t>
      </w:r>
      <w:r>
        <w:rPr>
          <w:rFonts w:eastAsia="方正仿宋_GBK"/>
          <w:sz w:val="32"/>
          <w:szCs w:val="32"/>
        </w:rPr>
        <w:t>人民政府、街道办事处和市直有关部门要建立健全应对突发事件的风险防控、监测预警、信息报告、应急处置与救援、恢复重建等工作机制。</w:t>
      </w:r>
    </w:p>
    <w:p w14:paraId="70875E76">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3.1风险防控</w:t>
      </w:r>
    </w:p>
    <w:p w14:paraId="7379826D">
      <w:pPr>
        <w:spacing w:line="578" w:lineRule="exact"/>
        <w:ind w:firstLine="640" w:firstLineChars="200"/>
        <w:rPr>
          <w:rFonts w:ascii="方正楷体_GBK" w:eastAsia="方正楷体_GBK"/>
          <w:sz w:val="32"/>
          <w:szCs w:val="32"/>
        </w:rPr>
      </w:pPr>
      <w:r>
        <w:rPr>
          <w:rFonts w:eastAsia="方正仿宋_GBK"/>
          <w:sz w:val="32"/>
          <w:szCs w:val="32"/>
        </w:rPr>
        <w:t>（1）市直有关部门按照“关口前移、重心下沉、源头管控”的原则，建立健全突发事件风险辨识、分析、会商、研判、防控等制度，从源头上防范化解重大风险。对重大关键基础设施、重大风险隐患、重大活动等要按照“谁经营谁主管、谁举办谁负责”的原则，进行风险辨识与评估，落实风险防控责任，采取切实有效的防控措施。</w:t>
      </w:r>
    </w:p>
    <w:p w14:paraId="7DE0747E">
      <w:pPr>
        <w:spacing w:line="578" w:lineRule="exact"/>
        <w:ind w:firstLine="640" w:firstLineChars="200"/>
        <w:rPr>
          <w:rFonts w:ascii="方正楷体_GBK" w:eastAsia="方正楷体_GBK"/>
          <w:sz w:val="32"/>
          <w:szCs w:val="32"/>
        </w:rPr>
      </w:pPr>
      <w:r>
        <w:rPr>
          <w:rFonts w:eastAsia="方正仿宋_GBK"/>
          <w:sz w:val="32"/>
          <w:szCs w:val="32"/>
        </w:rPr>
        <w:t>（2）各专项指挥机构和工作机构要依法对行业(领域)内风险点、危险源、危险区域进行调查、辨识、评估、分级、登记，建立台账，定期进行检查、监控，责令有关单位采取防范化解措施。建立风险信息互通共享机制，推动形成完整的风险管理数据库。对重大风险点和危险源，制定防控措施、整改方案和应急预案，同时做好监控和应急准备工作;对一些影响大，群众反映强烈的普遍性和倾向性社会问题，要研究采取政策、法律等治本措施，力求从根本上解决;必要时，要立即报告本级政府和上级政府有关部门，通报可能受到危害的毗邻或有关地区政府。</w:t>
      </w:r>
    </w:p>
    <w:p w14:paraId="6FDC9D85">
      <w:pPr>
        <w:spacing w:line="578" w:lineRule="exact"/>
        <w:ind w:firstLine="640" w:firstLineChars="200"/>
        <w:rPr>
          <w:rFonts w:ascii="方正楷体_GBK" w:eastAsia="方正楷体_GBK"/>
          <w:sz w:val="32"/>
          <w:szCs w:val="32"/>
        </w:rPr>
      </w:pPr>
      <w:r>
        <w:rPr>
          <w:rFonts w:eastAsia="方正仿宋_GBK"/>
          <w:sz w:val="32"/>
          <w:szCs w:val="32"/>
        </w:rPr>
        <w:t>（3）基层组织机构应建立完善网格化风险防控体系，及时发现和处置风险隐患，落实风险管控措施，加强风险隐患全过程管理，做好应急准备。</w:t>
      </w:r>
    </w:p>
    <w:p w14:paraId="399FCE11">
      <w:pPr>
        <w:spacing w:line="578" w:lineRule="exact"/>
        <w:ind w:firstLine="640" w:firstLineChars="200"/>
        <w:rPr>
          <w:rFonts w:ascii="方正楷体_GBK" w:eastAsia="方正楷体_GBK"/>
          <w:sz w:val="32"/>
          <w:szCs w:val="32"/>
        </w:rPr>
      </w:pPr>
      <w:r>
        <w:rPr>
          <w:rFonts w:eastAsia="方正仿宋_GBK"/>
          <w:sz w:val="32"/>
          <w:szCs w:val="32"/>
        </w:rPr>
        <w:t>（4）重点战略物资储备库、重要油气输送管道、重要油气储运设施、铁路客运专线和繁忙干线、大型桥梁、重要通信枢纽等重大关键基础设施设计单位要科学选址、优化布局，进行风险评估、可行性论证，增强防灾抗灾和风险管控能力;运营与维护单位要建立完善日常安全和风险管理制度;有关部门要加强安全监督检查。</w:t>
      </w:r>
    </w:p>
    <w:p w14:paraId="4DBCFB24">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3.2监测与预警</w:t>
      </w:r>
    </w:p>
    <w:p w14:paraId="66006A2C">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3.2.1监测</w:t>
      </w:r>
    </w:p>
    <w:p w14:paraId="3D0D68DA">
      <w:pPr>
        <w:spacing w:line="578" w:lineRule="exact"/>
        <w:ind w:firstLine="640" w:firstLineChars="200"/>
        <w:rPr>
          <w:rFonts w:ascii="方正楷体_GBK" w:eastAsia="方正楷体_GBK"/>
          <w:sz w:val="32"/>
          <w:szCs w:val="32"/>
        </w:rPr>
      </w:pPr>
      <w:r>
        <w:rPr>
          <w:rFonts w:eastAsia="方正仿宋_GBK"/>
          <w:sz w:val="32"/>
          <w:szCs w:val="32"/>
        </w:rPr>
        <w:t>各乡</w:t>
      </w:r>
      <w:r>
        <w:rPr>
          <w:rFonts w:hint="eastAsia" w:eastAsia="方正仿宋_GBK"/>
          <w:sz w:val="32"/>
          <w:szCs w:val="32"/>
        </w:rPr>
        <w:t>（镇）</w:t>
      </w:r>
      <w:r>
        <w:rPr>
          <w:rFonts w:eastAsia="方正仿宋_GBK"/>
          <w:sz w:val="32"/>
          <w:szCs w:val="32"/>
        </w:rPr>
        <w:t>人民政府、街道办事处和市直有关部门应建立健全突发事件监测制度，整合监测信息资源，完善信息资源获取和共享机制，突发事件牵头部门负责相应突发事件监测信息集成。</w:t>
      </w:r>
    </w:p>
    <w:p w14:paraId="5E369B4A">
      <w:pPr>
        <w:spacing w:line="578" w:lineRule="exact"/>
        <w:ind w:firstLine="645"/>
        <w:rPr>
          <w:rFonts w:eastAsia="方正仿宋_GBK"/>
          <w:sz w:val="32"/>
          <w:szCs w:val="32"/>
        </w:rPr>
      </w:pPr>
      <w:r>
        <w:rPr>
          <w:rFonts w:eastAsia="方正仿宋_GBK"/>
          <w:sz w:val="32"/>
          <w:szCs w:val="32"/>
        </w:rPr>
        <w:t>根据突发事件种类和特点，建立健全地震、地质、气象、洪涝、干旱、森林火灾、危险化学品及烟花爆竹生产和储运、排污单位、重大关键基础设施、传染病疫情、野生动物疫情等基础信息数据库，完善监测网络，划分监测区域，确定监测点，明确监测项目，提供必要的设备、设施，配备专职或兼职人员，对可能发生的突发事件进行监测。加强有关行业重大风险监控方面的研究，对重大风险点、危险源进行有效辨识、监测，以便采取有效措施进行防范，减少或杜绝发生重大损失。</w:t>
      </w:r>
    </w:p>
    <w:p w14:paraId="3B8370F9">
      <w:pPr>
        <w:spacing w:line="578" w:lineRule="exact"/>
        <w:ind w:firstLine="645"/>
        <w:rPr>
          <w:rFonts w:ascii="方正楷体_GBK" w:eastAsia="方正楷体_GBK"/>
          <w:sz w:val="32"/>
          <w:szCs w:val="32"/>
        </w:rPr>
      </w:pPr>
      <w:r>
        <w:rPr>
          <w:rFonts w:hint="eastAsia" w:ascii="方正楷体_GBK" w:eastAsia="方正楷体_GBK"/>
          <w:sz w:val="32"/>
          <w:szCs w:val="32"/>
        </w:rPr>
        <w:t>3.2.2预警</w:t>
      </w:r>
    </w:p>
    <w:p w14:paraId="44E6C8A9">
      <w:pPr>
        <w:spacing w:line="578" w:lineRule="exact"/>
        <w:ind w:firstLine="645"/>
        <w:rPr>
          <w:rFonts w:ascii="方正楷体_GBK" w:eastAsia="方正楷体_GBK"/>
          <w:sz w:val="32"/>
          <w:szCs w:val="32"/>
        </w:rPr>
      </w:pPr>
      <w:r>
        <w:rPr>
          <w:rFonts w:eastAsia="方正仿宋_GBK"/>
          <w:sz w:val="32"/>
          <w:szCs w:val="32"/>
        </w:rPr>
        <w:t>各乡</w:t>
      </w:r>
      <w:r>
        <w:rPr>
          <w:rFonts w:hint="eastAsia" w:eastAsia="方正仿宋_GBK"/>
          <w:sz w:val="32"/>
          <w:szCs w:val="32"/>
        </w:rPr>
        <w:t>（镇）</w:t>
      </w:r>
      <w:r>
        <w:rPr>
          <w:rFonts w:eastAsia="方正仿宋_GBK"/>
          <w:sz w:val="32"/>
          <w:szCs w:val="32"/>
        </w:rPr>
        <w:t>人民政府、街道办事处和市直有关部门建立健全突发事件预警制度，统筹预警信息发布，运用应急广播等各类渠道，解决预警信息发布“最后一公里”问题。</w:t>
      </w:r>
    </w:p>
    <w:p w14:paraId="0D700DE0">
      <w:pPr>
        <w:spacing w:line="578" w:lineRule="exact"/>
        <w:ind w:firstLine="645"/>
        <w:rPr>
          <w:rFonts w:ascii="方正楷体_GBK" w:eastAsia="方正楷体_GBK"/>
          <w:sz w:val="32"/>
          <w:szCs w:val="32"/>
        </w:rPr>
      </w:pPr>
      <w:r>
        <w:rPr>
          <w:rFonts w:eastAsia="方正仿宋_GBK"/>
          <w:sz w:val="32"/>
          <w:szCs w:val="32"/>
        </w:rPr>
        <w:t>（1）确定预警级别。对可以预警的自然灾害、事故灾难或公共卫生事件，有关部门接到相关征兆信息后，及时组织进行分析评估，研判发生的可能性、强度和影响范围及可能发生的次生衍生突发事件类别，确定预警级别。按照紧急程度、发展势态和可能造成的危害程度，预警级别由高到低可分为一级、二级、三级和四级，分别用红色、橙色、黄色和蓝色标示。预警级别的具体划分标准由国家牵头部门按职责分工分类制定。对难以确定级别的突发事件，要根据情况及时向有关方面通报提醒或警示信息，必要时向社会公众发布安全警示。</w:t>
      </w:r>
    </w:p>
    <w:p w14:paraId="2BB5FAF5">
      <w:pPr>
        <w:spacing w:line="578" w:lineRule="exact"/>
        <w:ind w:firstLine="645"/>
        <w:rPr>
          <w:rFonts w:ascii="方正楷体_GBK" w:eastAsia="方正楷体_GBK"/>
          <w:sz w:val="32"/>
          <w:szCs w:val="32"/>
        </w:rPr>
      </w:pPr>
      <w:r>
        <w:rPr>
          <w:rFonts w:eastAsia="方正仿宋_GBK"/>
          <w:sz w:val="32"/>
          <w:szCs w:val="32"/>
        </w:rPr>
        <w:t>（2）发布预警信息。分析评估结果确认突发事件即将发生或者发生的可能性增大时，各乡(镇)人民政府、街道办事处和市直有关部门根据分析评估结果，按有关规定立即发布预警信息，及时向上一级政府或相应部门报告，必要时可以越级上报，并向当地驻军、驻地企事业单位和可能受到危害的毗邻或相关地区的政府通报。根据事态发展，适时调整预警级别并重新报告、通报和发布有关突发事件预测信息和分析评估结果。</w:t>
      </w:r>
    </w:p>
    <w:p w14:paraId="7C5EFB44">
      <w:pPr>
        <w:spacing w:line="578" w:lineRule="exact"/>
        <w:ind w:firstLine="645"/>
        <w:rPr>
          <w:rFonts w:ascii="方正楷体_GBK" w:eastAsia="方正楷体_GBK"/>
          <w:sz w:val="32"/>
          <w:szCs w:val="32"/>
        </w:rPr>
      </w:pPr>
      <w:r>
        <w:rPr>
          <w:rFonts w:eastAsia="方正仿宋_GBK"/>
          <w:sz w:val="32"/>
          <w:szCs w:val="32"/>
        </w:rPr>
        <w:t>预警信息的发布和调整要充分发挥突发事件预警信息发布系统的作用，通过广播、电视、报刊、通信与信息网络、警报器、宣传车、大喇叭或组织人员逐户通知等方式进行，对老、幼、病、残、孕等特殊人群以及学校等特殊场所和警报盲区，应当采取有针对性的通知方式。承担应急处置职责的相关单位接收到预警信息后，应当及时向发布预警信息的单位反馈接收结果。</w:t>
      </w:r>
    </w:p>
    <w:p w14:paraId="2BDBD9A1">
      <w:pPr>
        <w:spacing w:line="578" w:lineRule="exact"/>
        <w:ind w:firstLine="645"/>
        <w:rPr>
          <w:rFonts w:ascii="方正楷体_GBK" w:eastAsia="方正楷体_GBK"/>
          <w:sz w:val="32"/>
          <w:szCs w:val="32"/>
        </w:rPr>
      </w:pPr>
      <w:r>
        <w:rPr>
          <w:rFonts w:eastAsia="方正仿宋_GBK"/>
          <w:sz w:val="32"/>
          <w:szCs w:val="32"/>
        </w:rPr>
        <w:t>（3）采取预警措施。发布蓝色、黄色预警后，有关方面应采取下列一项或多项措施：</w:t>
      </w:r>
    </w:p>
    <w:p w14:paraId="4C896FEE">
      <w:pPr>
        <w:spacing w:line="578" w:lineRule="exact"/>
        <w:ind w:firstLine="640" w:firstLineChars="200"/>
        <w:rPr>
          <w:rFonts w:eastAsia="方正仿宋_GBK"/>
          <w:sz w:val="32"/>
          <w:szCs w:val="32"/>
        </w:rPr>
      </w:pPr>
      <w:r>
        <w:rPr>
          <w:rFonts w:eastAsia="方正仿宋_GBK"/>
          <w:sz w:val="32"/>
          <w:szCs w:val="32"/>
        </w:rPr>
        <w:t xml:space="preserve">①责令有关部门、专业机构、监测网点和负有信息报告职责的人员增加观测频次，及时收集、报告有关信息，加强预报和预警工作。 </w:t>
      </w:r>
    </w:p>
    <w:p w14:paraId="168FD00E">
      <w:pPr>
        <w:spacing w:line="578" w:lineRule="exact"/>
        <w:ind w:firstLine="640" w:firstLineChars="200"/>
        <w:rPr>
          <w:rFonts w:eastAsia="方正仿宋_GBK"/>
          <w:sz w:val="32"/>
          <w:szCs w:val="32"/>
        </w:rPr>
      </w:pPr>
      <w:r>
        <w:rPr>
          <w:rFonts w:eastAsia="方正仿宋_GBK"/>
          <w:sz w:val="32"/>
          <w:szCs w:val="32"/>
        </w:rPr>
        <w:t xml:space="preserve">②组织有关部门和机构、专业技术人员、专家学者随时对突发事件预测信息进行分析评估，预测发生突发事件可能性的大小、影响范围和可能发生的突发事件级别。 </w:t>
      </w:r>
    </w:p>
    <w:p w14:paraId="1F73C113">
      <w:pPr>
        <w:spacing w:line="578" w:lineRule="exact"/>
        <w:ind w:firstLine="640" w:firstLineChars="200"/>
        <w:rPr>
          <w:rFonts w:eastAsia="方正仿宋_GBK"/>
          <w:sz w:val="32"/>
          <w:szCs w:val="32"/>
        </w:rPr>
      </w:pPr>
      <w:r>
        <w:rPr>
          <w:rFonts w:eastAsia="方正仿宋_GBK"/>
          <w:sz w:val="32"/>
          <w:szCs w:val="32"/>
        </w:rPr>
        <w:t xml:space="preserve">③及时向社会发布与公众有关的突发事件预测信息和分析评估结果，并对相关信息的报道工作进行管理。 </w:t>
      </w:r>
    </w:p>
    <w:p w14:paraId="7473E8AE">
      <w:pPr>
        <w:spacing w:line="578" w:lineRule="exact"/>
        <w:ind w:firstLine="640" w:firstLineChars="200"/>
        <w:rPr>
          <w:rFonts w:eastAsia="方正仿宋_GBK"/>
          <w:sz w:val="32"/>
          <w:szCs w:val="32"/>
        </w:rPr>
      </w:pPr>
      <w:r>
        <w:rPr>
          <w:rFonts w:eastAsia="方正仿宋_GBK"/>
          <w:sz w:val="32"/>
          <w:szCs w:val="32"/>
        </w:rPr>
        <w:t>④加强公众沟通，向社会公布反映突发事件信息的渠道，及时按照有关规定向社会公告采取的有关特定措施、避免或减轻危害的建议和劝告等。</w:t>
      </w:r>
    </w:p>
    <w:p w14:paraId="73618CD1">
      <w:pPr>
        <w:spacing w:line="578" w:lineRule="exact"/>
        <w:ind w:firstLine="640" w:firstLineChars="200"/>
        <w:rPr>
          <w:rFonts w:eastAsia="方正仿宋_GBK"/>
          <w:sz w:val="32"/>
          <w:szCs w:val="32"/>
        </w:rPr>
      </w:pPr>
      <w:r>
        <w:rPr>
          <w:rFonts w:eastAsia="方正仿宋_GBK"/>
          <w:sz w:val="32"/>
          <w:szCs w:val="32"/>
        </w:rPr>
        <w:t>⑤其他必要的预警措施</w:t>
      </w:r>
      <w:r>
        <w:rPr>
          <w:rFonts w:hint="eastAsia" w:eastAsia="方正仿宋_GBK"/>
          <w:sz w:val="32"/>
          <w:szCs w:val="32"/>
        </w:rPr>
        <w:t>。</w:t>
      </w:r>
      <w:r>
        <w:rPr>
          <w:rFonts w:eastAsia="方正仿宋_GBK"/>
          <w:sz w:val="32"/>
          <w:szCs w:val="32"/>
        </w:rPr>
        <w:t xml:space="preserve">发布橙色、红色预警后，有关方面在采取蓝色、黄色预警措施的基础上，还应当针对即将发生的突发事件特点和可能造成的危害，采取下列一项或多项措施： </w:t>
      </w:r>
    </w:p>
    <w:p w14:paraId="374CE8B0">
      <w:pPr>
        <w:spacing w:line="578" w:lineRule="exact"/>
        <w:ind w:firstLine="640" w:firstLineChars="200"/>
        <w:rPr>
          <w:rFonts w:eastAsia="方正仿宋_GBK"/>
          <w:sz w:val="32"/>
          <w:szCs w:val="32"/>
        </w:rPr>
      </w:pPr>
      <w:r>
        <w:rPr>
          <w:rFonts w:hint="eastAsia" w:eastAsia="方正仿宋_GBK"/>
          <w:sz w:val="32"/>
          <w:szCs w:val="32"/>
        </w:rPr>
        <w:t>一是</w:t>
      </w:r>
      <w:r>
        <w:rPr>
          <w:rFonts w:eastAsia="方正仿宋_GBK"/>
          <w:sz w:val="32"/>
          <w:szCs w:val="32"/>
        </w:rPr>
        <w:t xml:space="preserve">组织应急队伍和负有特定职责的人员进入待命状态，动员后备人员做好参加应急处置和救援工作的准备，视情预置有关队伍、装备、物资等应急资源。 </w:t>
      </w:r>
    </w:p>
    <w:p w14:paraId="5BD53CA1">
      <w:pPr>
        <w:spacing w:line="578" w:lineRule="exact"/>
        <w:ind w:firstLine="640" w:firstLineChars="200"/>
        <w:rPr>
          <w:rFonts w:eastAsia="方正仿宋_GBK"/>
          <w:sz w:val="32"/>
          <w:szCs w:val="32"/>
        </w:rPr>
      </w:pPr>
      <w:r>
        <w:rPr>
          <w:rFonts w:hint="eastAsia" w:eastAsia="方正仿宋_GBK"/>
          <w:sz w:val="32"/>
          <w:szCs w:val="32"/>
        </w:rPr>
        <w:t>二是</w:t>
      </w:r>
      <w:r>
        <w:rPr>
          <w:rFonts w:eastAsia="方正仿宋_GBK"/>
          <w:sz w:val="32"/>
          <w:szCs w:val="32"/>
        </w:rPr>
        <w:t>调集应急处置所需物资、设备、工具等，准备应急设施和避难场所，确保其处于良好状态、随时可以投入正常使用。</w:t>
      </w:r>
    </w:p>
    <w:p w14:paraId="416D4899">
      <w:pPr>
        <w:spacing w:line="578" w:lineRule="exact"/>
        <w:ind w:firstLine="640" w:firstLineChars="200"/>
        <w:rPr>
          <w:rFonts w:eastAsia="方正仿宋_GBK"/>
          <w:sz w:val="32"/>
          <w:szCs w:val="32"/>
        </w:rPr>
      </w:pPr>
      <w:r>
        <w:rPr>
          <w:rFonts w:hint="eastAsia" w:eastAsia="方正仿宋_GBK"/>
          <w:sz w:val="32"/>
          <w:szCs w:val="32"/>
        </w:rPr>
        <w:t>三是</w:t>
      </w:r>
      <w:r>
        <w:rPr>
          <w:rFonts w:eastAsia="方正仿宋_GBK"/>
          <w:sz w:val="32"/>
          <w:szCs w:val="32"/>
        </w:rPr>
        <w:t xml:space="preserve">加强对重点单位、重要部位和重要基础设施的安全保卫，维护社会治安秩序。 </w:t>
      </w:r>
    </w:p>
    <w:p w14:paraId="4FDD8B30">
      <w:pPr>
        <w:spacing w:line="578" w:lineRule="exact"/>
        <w:ind w:firstLine="640" w:firstLineChars="200"/>
        <w:rPr>
          <w:rFonts w:eastAsia="方正仿宋_GBK"/>
          <w:sz w:val="32"/>
          <w:szCs w:val="32"/>
        </w:rPr>
      </w:pPr>
      <w:r>
        <w:rPr>
          <w:rFonts w:hint="eastAsia" w:eastAsia="方正仿宋_GBK"/>
          <w:sz w:val="32"/>
          <w:szCs w:val="32"/>
        </w:rPr>
        <w:t>四是</w:t>
      </w:r>
      <w:r>
        <w:rPr>
          <w:rFonts w:eastAsia="方正仿宋_GBK"/>
          <w:sz w:val="32"/>
          <w:szCs w:val="32"/>
        </w:rPr>
        <w:t xml:space="preserve">采取必要措施，确保交通、通信、供水、排水、供电、燃气、供热等公共设施的安全和正常运行。 </w:t>
      </w:r>
    </w:p>
    <w:p w14:paraId="3A3C2666">
      <w:pPr>
        <w:spacing w:line="578" w:lineRule="exact"/>
        <w:ind w:firstLine="640" w:firstLineChars="200"/>
        <w:rPr>
          <w:rFonts w:eastAsia="方正仿宋_GBK"/>
          <w:sz w:val="32"/>
          <w:szCs w:val="32"/>
        </w:rPr>
      </w:pPr>
      <w:r>
        <w:rPr>
          <w:rFonts w:hint="eastAsia" w:eastAsia="方正仿宋_GBK"/>
          <w:sz w:val="32"/>
          <w:szCs w:val="32"/>
        </w:rPr>
        <w:t>五是</w:t>
      </w:r>
      <w:r>
        <w:rPr>
          <w:rFonts w:eastAsia="方正仿宋_GBK"/>
          <w:sz w:val="32"/>
          <w:szCs w:val="32"/>
        </w:rPr>
        <w:t xml:space="preserve">转移、疏散或撤离易受突发事件危害的人员并予以妥善安置，转移重要财产。 </w:t>
      </w:r>
    </w:p>
    <w:p w14:paraId="2F896ADA">
      <w:pPr>
        <w:spacing w:line="578" w:lineRule="exact"/>
        <w:ind w:firstLine="640" w:firstLineChars="200"/>
        <w:rPr>
          <w:rFonts w:eastAsia="方正仿宋_GBK"/>
          <w:sz w:val="32"/>
          <w:szCs w:val="32"/>
        </w:rPr>
      </w:pPr>
      <w:r>
        <w:rPr>
          <w:rFonts w:hint="eastAsia" w:eastAsia="方正仿宋_GBK"/>
          <w:sz w:val="32"/>
          <w:szCs w:val="32"/>
        </w:rPr>
        <w:t>六是</w:t>
      </w:r>
      <w:r>
        <w:rPr>
          <w:rFonts w:eastAsia="方正仿宋_GBK"/>
          <w:sz w:val="32"/>
          <w:szCs w:val="32"/>
        </w:rPr>
        <w:t xml:space="preserve">关闭或限制使用易受突发事件危害的场所，控制或者限制容易导致危害扩大的公共场所的活动。 </w:t>
      </w:r>
    </w:p>
    <w:p w14:paraId="4CB67580">
      <w:pPr>
        <w:spacing w:line="578" w:lineRule="exact"/>
        <w:ind w:firstLine="640" w:firstLineChars="200"/>
        <w:rPr>
          <w:rFonts w:eastAsia="方正仿宋_GBK"/>
          <w:sz w:val="32"/>
          <w:szCs w:val="32"/>
        </w:rPr>
      </w:pPr>
      <w:r>
        <w:rPr>
          <w:rFonts w:hint="eastAsia" w:eastAsia="方正仿宋_GBK"/>
          <w:sz w:val="32"/>
          <w:szCs w:val="32"/>
        </w:rPr>
        <w:t>七是</w:t>
      </w:r>
      <w:r>
        <w:rPr>
          <w:rFonts w:eastAsia="方正仿宋_GBK"/>
          <w:sz w:val="32"/>
          <w:szCs w:val="32"/>
        </w:rPr>
        <w:t>其他必要的预警措施。</w:t>
      </w:r>
    </w:p>
    <w:p w14:paraId="1C2835C6">
      <w:pPr>
        <w:spacing w:line="578" w:lineRule="exact"/>
        <w:ind w:firstLine="640" w:firstLineChars="200"/>
        <w:rPr>
          <w:rFonts w:eastAsia="方正仿宋_GBK"/>
          <w:sz w:val="32"/>
          <w:szCs w:val="32"/>
        </w:rPr>
      </w:pPr>
      <w:r>
        <w:rPr>
          <w:rFonts w:eastAsia="方正仿宋_GBK"/>
          <w:sz w:val="32"/>
          <w:szCs w:val="32"/>
        </w:rPr>
        <w:t>（4）解除预警措施。当突发事件风险已经解除，要立即宣布解除警报，终止预警期，解除已经采取的有关措施。</w:t>
      </w:r>
    </w:p>
    <w:p w14:paraId="1B46ED73">
      <w:pPr>
        <w:spacing w:line="578" w:lineRule="exact"/>
        <w:ind w:firstLine="640" w:firstLineChars="200"/>
        <w:rPr>
          <w:rFonts w:ascii="方正黑体_GBK" w:eastAsia="方正黑体_GBK"/>
          <w:sz w:val="32"/>
          <w:szCs w:val="32"/>
        </w:rPr>
      </w:pPr>
      <w:r>
        <w:rPr>
          <w:rFonts w:hint="eastAsia" w:ascii="方正黑体_GBK" w:eastAsia="方正黑体_GBK"/>
          <w:sz w:val="32"/>
          <w:szCs w:val="32"/>
        </w:rPr>
        <w:t>4应急响应</w:t>
      </w:r>
    </w:p>
    <w:p w14:paraId="0462A07F">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4.1信息报告</w:t>
      </w:r>
    </w:p>
    <w:p w14:paraId="1CF9E4E8">
      <w:pPr>
        <w:spacing w:line="578" w:lineRule="exact"/>
        <w:ind w:firstLine="640" w:firstLineChars="200"/>
        <w:rPr>
          <w:rFonts w:ascii="方正楷体_GBK" w:eastAsia="方正楷体_GBK"/>
          <w:sz w:val="32"/>
          <w:szCs w:val="32"/>
        </w:rPr>
      </w:pPr>
      <w:r>
        <w:rPr>
          <w:rFonts w:eastAsia="方正仿宋_GBK"/>
          <w:sz w:val="32"/>
          <w:szCs w:val="32"/>
        </w:rPr>
        <w:t>（1）相应市级议事协调机构或市级专项应急指挥机构要积极推进安全风险网格化管理，创新基层网格员管理体制机制，统筹灾害信息员、群测群防员、气象信息员、网格员等资源，建立统一规范的基层网格员管理和激励制度，实现社区、村网格员全覆盖、无死角，同时承担风险隐患巡查报告、突发事件第一时间报告、第一时间先期处置、灾情统计报告等职责。</w:t>
      </w:r>
    </w:p>
    <w:p w14:paraId="054C8BD7">
      <w:pPr>
        <w:spacing w:line="578" w:lineRule="exact"/>
        <w:ind w:firstLine="640" w:firstLineChars="200"/>
        <w:rPr>
          <w:rFonts w:ascii="方正楷体_GBK" w:eastAsia="方正楷体_GBK"/>
          <w:sz w:val="32"/>
          <w:szCs w:val="32"/>
        </w:rPr>
      </w:pPr>
      <w:r>
        <w:rPr>
          <w:rFonts w:eastAsia="方正仿宋_GBK"/>
          <w:sz w:val="32"/>
          <w:szCs w:val="32"/>
        </w:rPr>
        <w:t>（2）突发事件发生或发现重大风险、隐患后，基层网格员和有关社区、村、企业、社会组织及相关专业机构、监测网点等要及时向所在地政府及其有关主管部门报告突发事件信息。事发</w:t>
      </w:r>
      <w:r>
        <w:rPr>
          <w:rFonts w:hint="eastAsia" w:eastAsia="方正仿宋_GBK"/>
          <w:sz w:val="32"/>
          <w:szCs w:val="32"/>
        </w:rPr>
        <w:t>乡镇（街道）</w:t>
      </w:r>
      <w:r>
        <w:rPr>
          <w:rFonts w:eastAsia="方正仿宋_GBK"/>
          <w:sz w:val="32"/>
          <w:szCs w:val="32"/>
        </w:rPr>
        <w:t>和有关部门接到通报后，第一时间开展研判分析，</w:t>
      </w:r>
      <w:r>
        <w:rPr>
          <w:rFonts w:hint="eastAsia" w:eastAsia="方正仿宋_GBK"/>
          <w:sz w:val="32"/>
          <w:szCs w:val="32"/>
        </w:rPr>
        <w:t>根据事态进展，及时向市委、市政府报送信息</w:t>
      </w:r>
      <w:r>
        <w:rPr>
          <w:rFonts w:eastAsia="方正仿宋_GBK"/>
          <w:sz w:val="32"/>
          <w:szCs w:val="32"/>
        </w:rPr>
        <w:t>。</w:t>
      </w:r>
    </w:p>
    <w:p w14:paraId="12160817">
      <w:pPr>
        <w:spacing w:line="578" w:lineRule="exact"/>
        <w:ind w:firstLine="640" w:firstLineChars="200"/>
        <w:rPr>
          <w:rFonts w:eastAsia="方正仿宋_GBK"/>
          <w:sz w:val="32"/>
          <w:szCs w:val="32"/>
        </w:rPr>
      </w:pPr>
      <w:r>
        <w:rPr>
          <w:rFonts w:eastAsia="方正仿宋_GBK"/>
          <w:sz w:val="32"/>
          <w:szCs w:val="32"/>
        </w:rPr>
        <w:t>报告内容一般包括突发事件发生的时间、地点、信息来源、性质、简要经过、影响范围（含环境影响）、人员伤（病）亡和失联情况、房屋倒塌损坏情况、交通通信电力等基础设施损毁情况、现场救援情况和已经采取的其他措施等。</w:t>
      </w:r>
    </w:p>
    <w:p w14:paraId="7E44E5AB">
      <w:pPr>
        <w:spacing w:line="578" w:lineRule="exact"/>
        <w:ind w:firstLine="640" w:firstLineChars="200"/>
        <w:rPr>
          <w:rFonts w:eastAsia="方正仿宋_GBK"/>
          <w:sz w:val="32"/>
          <w:szCs w:val="32"/>
        </w:rPr>
      </w:pPr>
      <w:r>
        <w:rPr>
          <w:rFonts w:eastAsia="方正仿宋_GBK"/>
          <w:sz w:val="32"/>
          <w:szCs w:val="32"/>
        </w:rPr>
        <w:t>（3）各乡</w:t>
      </w:r>
      <w:r>
        <w:rPr>
          <w:rFonts w:hint="eastAsia" w:eastAsia="方正仿宋_GBK"/>
          <w:sz w:val="32"/>
          <w:szCs w:val="32"/>
        </w:rPr>
        <w:t>（镇）</w:t>
      </w:r>
      <w:r>
        <w:rPr>
          <w:rFonts w:eastAsia="方正仿宋_GBK"/>
          <w:sz w:val="32"/>
          <w:szCs w:val="32"/>
        </w:rPr>
        <w:t>人民政府、街道办事处和市直有关部门要及时向市政府报告特别重大、重大、较大、一般突发事件信息。市政府接到特别重大、重大、较大、一般突发事件信息后，按照国家有关法律法规规定及时报送白城市政府，涉及有关自然灾害和生产安全事故的同时抄报白城市应急管理局，涉及突发公共卫生事件的同时抄报白城市卫健委，涉及社会安全事件的同时抄报白城市公安局。</w:t>
      </w:r>
    </w:p>
    <w:p w14:paraId="3C0A1653">
      <w:pPr>
        <w:spacing w:line="578" w:lineRule="exact"/>
        <w:ind w:firstLine="640" w:firstLineChars="200"/>
        <w:rPr>
          <w:rFonts w:eastAsia="方正仿宋_GBK"/>
          <w:sz w:val="32"/>
          <w:szCs w:val="32"/>
        </w:rPr>
      </w:pPr>
      <w:r>
        <w:rPr>
          <w:rFonts w:eastAsia="方正仿宋_GBK"/>
          <w:sz w:val="32"/>
          <w:szCs w:val="32"/>
        </w:rPr>
        <w:t>（4）接到突发事件信息后，各乡(镇)人民政府、街道办事处及其有关部门要按照国家有关规定，立即如实向上级政府及其有关部门报告，最迟不得超过1小时，不得迟报、谎报、瞒报和漏报，同时通报可能受影响的地区、部门和企事业单位。特别重大突发事件发生后或特殊情况下，事发</w:t>
      </w:r>
      <w:r>
        <w:rPr>
          <w:rFonts w:hint="eastAsia" w:eastAsia="方正仿宋_GBK"/>
          <w:sz w:val="32"/>
          <w:szCs w:val="32"/>
        </w:rPr>
        <w:t>乡镇（街道）</w:t>
      </w:r>
      <w:r>
        <w:rPr>
          <w:rFonts w:eastAsia="方正仿宋_GBK"/>
          <w:sz w:val="32"/>
          <w:szCs w:val="32"/>
        </w:rPr>
        <w:t>及其有关部门可以直接越级上报，并同时报告市政府及其有关部门。</w:t>
      </w:r>
    </w:p>
    <w:p w14:paraId="2FD44B16">
      <w:pPr>
        <w:spacing w:line="578" w:lineRule="exact"/>
        <w:ind w:firstLine="640" w:firstLineChars="200"/>
        <w:rPr>
          <w:rFonts w:eastAsia="方正仿宋_GBK"/>
          <w:sz w:val="32"/>
          <w:szCs w:val="32"/>
        </w:rPr>
      </w:pPr>
      <w:r>
        <w:rPr>
          <w:rFonts w:eastAsia="方正仿宋_GBK"/>
          <w:sz w:val="32"/>
          <w:szCs w:val="32"/>
        </w:rPr>
        <w:t>（5）涉及港澳台侨、外籍人员或影响到境外的突发事件，需要向香港特别行政区、澳门特别行政区、台湾当局以及有关国家、地区、国际机构通报的，按照相关规定办理。</w:t>
      </w:r>
    </w:p>
    <w:p w14:paraId="02CE7803">
      <w:pPr>
        <w:spacing w:line="578" w:lineRule="exact"/>
        <w:ind w:firstLine="640" w:firstLineChars="200"/>
        <w:rPr>
          <w:rFonts w:eastAsia="方正仿宋_GBK"/>
          <w:sz w:val="32"/>
          <w:szCs w:val="32"/>
        </w:rPr>
      </w:pPr>
      <w:r>
        <w:rPr>
          <w:rFonts w:eastAsia="方正仿宋_GBK"/>
          <w:sz w:val="32"/>
          <w:szCs w:val="32"/>
        </w:rPr>
        <w:t>（6）各乡</w:t>
      </w:r>
      <w:r>
        <w:rPr>
          <w:rFonts w:hint="eastAsia" w:eastAsia="方正仿宋_GBK"/>
          <w:sz w:val="32"/>
          <w:szCs w:val="32"/>
        </w:rPr>
        <w:t>（镇）</w:t>
      </w:r>
      <w:r>
        <w:rPr>
          <w:rFonts w:eastAsia="方正仿宋_GBK"/>
          <w:sz w:val="32"/>
          <w:szCs w:val="32"/>
        </w:rPr>
        <w:t>人民政府、街道办事处和有关部门要建立健全信息快速获取机制。鼓励获悉突发事件信息的公民主动向有关主管部门或者指定的专业机构报告。</w:t>
      </w:r>
    </w:p>
    <w:p w14:paraId="1C11F4AC">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4.2先期处置</w:t>
      </w:r>
    </w:p>
    <w:p w14:paraId="02527A6E">
      <w:pPr>
        <w:spacing w:line="578" w:lineRule="exact"/>
        <w:ind w:firstLine="640" w:firstLineChars="200"/>
        <w:rPr>
          <w:rFonts w:eastAsia="方正仿宋_GBK"/>
          <w:sz w:val="32"/>
          <w:szCs w:val="32"/>
        </w:rPr>
      </w:pPr>
      <w:r>
        <w:rPr>
          <w:rFonts w:eastAsia="方正仿宋_GBK"/>
          <w:sz w:val="32"/>
          <w:szCs w:val="32"/>
        </w:rPr>
        <w:t>（1）事发单位要立即组织本单位应急队伍和工作人员营救受害人员，疏散、撤离、安置受威胁人员；控制危险源，标明危险区域，封锁危险场所，并采取其他防止危害扩大的必要措施；迅速控制可疑的传染源，积极救治病人，组织医疗卫生人员加强个人防护；乡镇人民政府、街道办事处、和有关部门必须按照国家法律法规规定报告突发事件信息。对因本单位的问题引发的或主体是本单位人员的社会安全事件，有关单位要迅速派出负责人赶赴现场开展劝解、疏导工作。</w:t>
      </w:r>
    </w:p>
    <w:p w14:paraId="7EE012D2">
      <w:pPr>
        <w:spacing w:line="578" w:lineRule="exact"/>
        <w:ind w:firstLine="640" w:firstLineChars="200"/>
        <w:rPr>
          <w:rFonts w:eastAsia="方正仿宋_GBK"/>
          <w:sz w:val="32"/>
          <w:szCs w:val="32"/>
        </w:rPr>
      </w:pPr>
      <w:r>
        <w:rPr>
          <w:rFonts w:eastAsia="方正仿宋_GBK"/>
          <w:sz w:val="32"/>
          <w:szCs w:val="32"/>
        </w:rPr>
        <w:t>（2）事发地居民（村民）委员会和其他组织要立即进行宣传动员，组织群众开展自救和互救，协助维护社会秩序，或按照当地政府的决定、命令组织开展突发事件应对工作。</w:t>
      </w:r>
    </w:p>
    <w:p w14:paraId="56FCE4D8">
      <w:pPr>
        <w:spacing w:line="578" w:lineRule="exact"/>
        <w:ind w:firstLine="640" w:firstLineChars="200"/>
        <w:rPr>
          <w:rFonts w:eastAsia="方正仿宋_GBK"/>
          <w:sz w:val="32"/>
          <w:szCs w:val="32"/>
        </w:rPr>
      </w:pPr>
      <w:r>
        <w:rPr>
          <w:rFonts w:eastAsia="方正仿宋_GBK"/>
          <w:sz w:val="32"/>
          <w:szCs w:val="32"/>
        </w:rPr>
        <w:t>（3）突发事件发生后，乡镇（街道）必须第一时间调动应急队伍，采取措施控制事态发展，组织开展应急处置与救援工作，并及时向上级政府报告。</w:t>
      </w:r>
    </w:p>
    <w:p w14:paraId="79570774">
      <w:pPr>
        <w:spacing w:line="578" w:lineRule="exact"/>
        <w:ind w:firstLine="640" w:firstLineChars="200"/>
        <w:rPr>
          <w:rFonts w:eastAsia="方正仿宋_GBK"/>
          <w:sz w:val="32"/>
          <w:szCs w:val="32"/>
        </w:rPr>
      </w:pPr>
      <w:r>
        <w:rPr>
          <w:rFonts w:eastAsia="方正仿宋_GBK"/>
          <w:sz w:val="32"/>
          <w:szCs w:val="32"/>
        </w:rPr>
        <w:t>（4）在境外发生涉及我市公民和机构的突发事件，市政府和市外事部门应及时启动应急机制，配合国家、省</w:t>
      </w:r>
      <w:r>
        <w:rPr>
          <w:rFonts w:hint="eastAsia" w:eastAsia="方正仿宋_GBK"/>
          <w:sz w:val="32"/>
          <w:szCs w:val="32"/>
        </w:rPr>
        <w:t>和</w:t>
      </w:r>
      <w:r>
        <w:rPr>
          <w:rFonts w:eastAsia="方正仿宋_GBK"/>
          <w:sz w:val="32"/>
          <w:szCs w:val="32"/>
        </w:rPr>
        <w:t>白城市采取措施控制事态发展，保护我市公民和机构安全及合法权益，必要时配合国家、省派遣有关人员赴境外开展工作。</w:t>
      </w:r>
    </w:p>
    <w:p w14:paraId="563CDC08">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4.3指挥协调</w:t>
      </w:r>
    </w:p>
    <w:p w14:paraId="1E5C3C87">
      <w:pPr>
        <w:spacing w:line="578" w:lineRule="exact"/>
        <w:ind w:firstLine="640" w:firstLineChars="200"/>
        <w:rPr>
          <w:rFonts w:ascii="方正楷体_GBK" w:eastAsia="方正楷体_GBK"/>
          <w:sz w:val="32"/>
          <w:szCs w:val="32"/>
        </w:rPr>
      </w:pPr>
      <w:r>
        <w:rPr>
          <w:rFonts w:eastAsia="方正仿宋_GBK"/>
          <w:sz w:val="32"/>
          <w:szCs w:val="32"/>
        </w:rPr>
        <w:t>（1）组织指挥。市政府及有关部门指导各乡</w:t>
      </w:r>
      <w:r>
        <w:rPr>
          <w:rFonts w:hint="eastAsia" w:eastAsia="方正仿宋_GBK"/>
          <w:sz w:val="32"/>
          <w:szCs w:val="32"/>
        </w:rPr>
        <w:t>（镇）</w:t>
      </w:r>
      <w:r>
        <w:rPr>
          <w:rFonts w:eastAsia="方正仿宋_GBK"/>
          <w:sz w:val="32"/>
          <w:szCs w:val="32"/>
        </w:rPr>
        <w:t>人民政府、街道办事处开展突发事件应对工作;上级组织指挥机构设立后，我市组织指挥机构按照上级组织指挥机构要求做好应急处置与救援有关工作;超出事发地政府处置能力的，市政府根据事发地乡</w:t>
      </w:r>
      <w:r>
        <w:rPr>
          <w:rFonts w:hint="eastAsia" w:eastAsia="方正仿宋_GBK"/>
          <w:sz w:val="32"/>
          <w:szCs w:val="32"/>
        </w:rPr>
        <w:t>（镇）</w:t>
      </w:r>
      <w:r>
        <w:rPr>
          <w:rFonts w:eastAsia="方正仿宋_GBK"/>
          <w:sz w:val="32"/>
          <w:szCs w:val="32"/>
        </w:rPr>
        <w:t>人民政府、街道办事处的请求或根据应对工作需要，组织有关议事机构或部门统一指挥。</w:t>
      </w:r>
    </w:p>
    <w:p w14:paraId="0F299CA5">
      <w:pPr>
        <w:spacing w:line="578" w:lineRule="exact"/>
        <w:ind w:firstLine="640" w:firstLineChars="200"/>
        <w:rPr>
          <w:rFonts w:ascii="方正楷体_GBK" w:eastAsia="方正楷体_GBK"/>
          <w:sz w:val="32"/>
          <w:szCs w:val="32"/>
        </w:rPr>
      </w:pPr>
      <w:r>
        <w:rPr>
          <w:rFonts w:eastAsia="方正仿宋_GBK"/>
          <w:sz w:val="32"/>
          <w:szCs w:val="32"/>
        </w:rPr>
        <w:t>各乡</w:t>
      </w:r>
      <w:r>
        <w:rPr>
          <w:rFonts w:hint="eastAsia" w:eastAsia="方正仿宋_GBK"/>
          <w:sz w:val="32"/>
          <w:szCs w:val="32"/>
        </w:rPr>
        <w:t>（镇）</w:t>
      </w:r>
      <w:r>
        <w:rPr>
          <w:rFonts w:eastAsia="方正仿宋_GBK"/>
          <w:sz w:val="32"/>
          <w:szCs w:val="32"/>
        </w:rPr>
        <w:t>人民政府、街道办事处对域内突发事件应对负有属地管理责任，要切实担负起突发事件应对责任，按照市政府要求组织实施应急处置与救援措施。</w:t>
      </w:r>
    </w:p>
    <w:p w14:paraId="4F4C90DA">
      <w:pPr>
        <w:spacing w:line="578" w:lineRule="exact"/>
        <w:ind w:firstLine="640" w:firstLineChars="200"/>
        <w:rPr>
          <w:rFonts w:ascii="方正楷体_GBK" w:eastAsia="方正楷体_GBK"/>
          <w:sz w:val="32"/>
          <w:szCs w:val="32"/>
        </w:rPr>
      </w:pPr>
      <w:r>
        <w:rPr>
          <w:rFonts w:eastAsia="方正仿宋_GBK"/>
          <w:sz w:val="32"/>
          <w:szCs w:val="32"/>
        </w:rPr>
        <w:t>（2）现场指挥。</w:t>
      </w:r>
      <w:r>
        <w:rPr>
          <w:rFonts w:hint="eastAsia" w:eastAsia="方正仿宋_GBK"/>
          <w:sz w:val="32"/>
          <w:szCs w:val="32"/>
        </w:rPr>
        <w:t>市</w:t>
      </w:r>
      <w:r>
        <w:rPr>
          <w:rFonts w:eastAsia="方正仿宋_GBK"/>
          <w:sz w:val="32"/>
          <w:szCs w:val="32"/>
        </w:rPr>
        <w:t>政府设立现场指挥机构的，</w:t>
      </w:r>
      <w:r>
        <w:rPr>
          <w:rFonts w:hint="eastAsia" w:eastAsia="方正仿宋_GBK"/>
          <w:sz w:val="32"/>
          <w:szCs w:val="32"/>
        </w:rPr>
        <w:t>乡镇（街道）</w:t>
      </w:r>
      <w:r>
        <w:rPr>
          <w:rFonts w:eastAsia="方正仿宋_GBK"/>
          <w:sz w:val="32"/>
          <w:szCs w:val="32"/>
        </w:rPr>
        <w:t>的现场指挥机构应纳入</w:t>
      </w:r>
      <w:r>
        <w:rPr>
          <w:rFonts w:hint="eastAsia" w:eastAsia="方正仿宋_GBK"/>
          <w:sz w:val="32"/>
          <w:szCs w:val="32"/>
        </w:rPr>
        <w:t>市</w:t>
      </w:r>
      <w:r>
        <w:rPr>
          <w:rFonts w:eastAsia="方正仿宋_GBK"/>
          <w:sz w:val="32"/>
          <w:szCs w:val="32"/>
        </w:rPr>
        <w:t>现场指挥机构，在</w:t>
      </w:r>
      <w:r>
        <w:rPr>
          <w:rFonts w:hint="eastAsia" w:eastAsia="方正仿宋_GBK"/>
          <w:sz w:val="32"/>
          <w:szCs w:val="32"/>
        </w:rPr>
        <w:t>市</w:t>
      </w:r>
      <w:r>
        <w:rPr>
          <w:rFonts w:eastAsia="方正仿宋_GBK"/>
          <w:sz w:val="32"/>
          <w:szCs w:val="32"/>
        </w:rPr>
        <w:t>现场指挥机构的统一领导下组织开展突发事件应对工作。现场指挥机构要充分听取有关专家意见建议，设立统一的救援队伍集结点、物资接收点和分发点、新闻发布中心，并提供必要的后勤保障。到达突发事件现场的各方面应急力量要及时向现场指挥机构报到、受领任务，接受现场指挥机构的统一指挥调度，严格遵守交通管理、信息发布等工作要求，并及时报告现场情况和处置工作进展情况，实现各方面信息共享。</w:t>
      </w:r>
    </w:p>
    <w:p w14:paraId="550F983A">
      <w:pPr>
        <w:spacing w:line="578" w:lineRule="exact"/>
        <w:ind w:firstLine="640" w:firstLineChars="200"/>
        <w:rPr>
          <w:rFonts w:ascii="方正楷体_GBK" w:eastAsia="方正楷体_GBK"/>
          <w:sz w:val="32"/>
          <w:szCs w:val="32"/>
        </w:rPr>
      </w:pPr>
      <w:r>
        <w:rPr>
          <w:rFonts w:eastAsia="方正仿宋_GBK"/>
          <w:sz w:val="32"/>
          <w:szCs w:val="32"/>
        </w:rPr>
        <w:t>当国家、省</w:t>
      </w:r>
      <w:r>
        <w:rPr>
          <w:rFonts w:hint="eastAsia" w:eastAsia="方正仿宋_GBK"/>
          <w:sz w:val="32"/>
          <w:szCs w:val="32"/>
        </w:rPr>
        <w:t>和</w:t>
      </w:r>
      <w:r>
        <w:rPr>
          <w:rFonts w:eastAsia="方正仿宋_GBK"/>
          <w:sz w:val="32"/>
          <w:szCs w:val="32"/>
        </w:rPr>
        <w:t>白城市现场指挥部（工作组）到达我市现场指挥部时，市级现场指挥机构要与其对接并接受业务指导，做好相应的保障工作。</w:t>
      </w:r>
    </w:p>
    <w:p w14:paraId="33AE91B7">
      <w:pPr>
        <w:spacing w:line="578" w:lineRule="exact"/>
        <w:ind w:firstLine="640" w:firstLineChars="200"/>
        <w:rPr>
          <w:rFonts w:ascii="方正楷体_GBK" w:eastAsia="方正楷体_GBK"/>
          <w:sz w:val="32"/>
          <w:szCs w:val="32"/>
        </w:rPr>
      </w:pPr>
      <w:r>
        <w:rPr>
          <w:rFonts w:eastAsia="方正仿宋_GBK"/>
          <w:sz w:val="32"/>
          <w:szCs w:val="32"/>
        </w:rPr>
        <w:t>（3）协同联动。军队、武警、国家综合性消防救援队伍和专业应急队伍等在</w:t>
      </w:r>
      <w:r>
        <w:rPr>
          <w:rFonts w:hint="eastAsia" w:eastAsia="方正仿宋_GBK"/>
          <w:sz w:val="32"/>
          <w:szCs w:val="32"/>
        </w:rPr>
        <w:t>市委、市</w:t>
      </w:r>
      <w:r>
        <w:rPr>
          <w:rFonts w:eastAsia="方正仿宋_GBK"/>
          <w:sz w:val="32"/>
          <w:szCs w:val="32"/>
        </w:rPr>
        <w:t>政府的统一领导下参加突发事件应急处置和救援，按规定的指挥关系和指挥权限指挥。社会组织参与突发事件应急处置与救援，纳入现场指挥机构统一管理、统一调动、统一行动。各级组织指挥机构根据突发事件现场实际情况，及时调度指挥相关应急资源开展应急处置与救援行动。</w:t>
      </w:r>
    </w:p>
    <w:p w14:paraId="6FFFD605">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4.4处置措施</w:t>
      </w:r>
    </w:p>
    <w:p w14:paraId="53366E7C">
      <w:pPr>
        <w:spacing w:line="578" w:lineRule="exact"/>
        <w:ind w:firstLine="640" w:firstLineChars="200"/>
        <w:rPr>
          <w:rFonts w:ascii="方正楷体_GBK" w:eastAsia="方正楷体_GBK"/>
          <w:sz w:val="32"/>
          <w:szCs w:val="32"/>
        </w:rPr>
      </w:pPr>
      <w:r>
        <w:rPr>
          <w:rFonts w:eastAsia="方正仿宋_GBK"/>
          <w:sz w:val="32"/>
          <w:szCs w:val="32"/>
        </w:rPr>
        <w:t>4.4.1自然灾害、事故灾难或者公共卫生事件发生后，在市委、市政府领导下，在相应市级议事协调机构或市级专项应急指挥机构指挥下，事发乡（镇）人民政府、街道办事处及市直有关部门单位应采取下列一项或者多项应急措施：</w:t>
      </w:r>
    </w:p>
    <w:p w14:paraId="6B94A9A6">
      <w:pPr>
        <w:spacing w:line="578" w:lineRule="exact"/>
        <w:ind w:firstLine="640" w:firstLineChars="200"/>
        <w:rPr>
          <w:rFonts w:ascii="方正楷体_GBK" w:eastAsia="方正楷体_GBK"/>
          <w:sz w:val="32"/>
          <w:szCs w:val="32"/>
        </w:rPr>
      </w:pPr>
      <w:r>
        <w:rPr>
          <w:rFonts w:eastAsia="方正仿宋_GBK"/>
          <w:sz w:val="32"/>
          <w:szCs w:val="32"/>
        </w:rPr>
        <w:t>（1）现场信息获取。组织现场人员、应急测绘和勘察队伍等，利用无人机、雷达、卫星等手段获取现场影像，分析研判道路桥梁、通信、电力等基础设施和居民住房损毁情况，重要目标物、人员密集场所和人口分布等信息，提出初步评估意见，并向现场指挥机构和有关部门报告。</w:t>
      </w:r>
    </w:p>
    <w:p w14:paraId="66BF7292">
      <w:pPr>
        <w:spacing w:line="578" w:lineRule="exact"/>
        <w:ind w:firstLine="640" w:firstLineChars="200"/>
        <w:rPr>
          <w:rFonts w:ascii="方正楷体_GBK" w:eastAsia="方正楷体_GBK"/>
          <w:sz w:val="32"/>
          <w:szCs w:val="32"/>
        </w:rPr>
      </w:pPr>
      <w:r>
        <w:rPr>
          <w:rFonts w:eastAsia="方正仿宋_GBK"/>
          <w:sz w:val="32"/>
          <w:szCs w:val="32"/>
        </w:rPr>
        <w:t>（2）组织营救受灾和被困人员，疏散、撤离并妥善安置受威胁人员，必要时组织动员社会应急力量有序参与应急处置与救援、受灾人员救助工作。</w:t>
      </w:r>
    </w:p>
    <w:p w14:paraId="7D6DE877">
      <w:pPr>
        <w:spacing w:line="578" w:lineRule="exact"/>
        <w:ind w:firstLine="640" w:firstLineChars="200"/>
        <w:rPr>
          <w:rFonts w:ascii="方正楷体_GBK" w:eastAsia="方正楷体_GBK"/>
          <w:sz w:val="32"/>
          <w:szCs w:val="32"/>
        </w:rPr>
      </w:pPr>
      <w:r>
        <w:rPr>
          <w:rFonts w:eastAsia="方正仿宋_GBK"/>
          <w:sz w:val="32"/>
          <w:szCs w:val="32"/>
        </w:rPr>
        <w:t>（3）组织开展伤病员救治、卫生防疫和公共卫生调查处理、应急心理援助等医疗卫生工作，治疗传染病人和疑似病例，控制传染源，隔离和观察密切接触者，对易感人群采取应急接种、预防性服药、非药物干预措施和卫生防疫知识宣传。</w:t>
      </w:r>
    </w:p>
    <w:p w14:paraId="28941B85">
      <w:pPr>
        <w:spacing w:line="578" w:lineRule="exact"/>
        <w:ind w:firstLine="640" w:firstLineChars="200"/>
        <w:rPr>
          <w:rFonts w:ascii="方正楷体_GBK" w:eastAsia="方正楷体_GBK"/>
          <w:sz w:val="32"/>
          <w:szCs w:val="32"/>
        </w:rPr>
      </w:pPr>
      <w:r>
        <w:rPr>
          <w:rFonts w:eastAsia="方正仿宋_GBK"/>
          <w:sz w:val="32"/>
          <w:szCs w:val="32"/>
        </w:rPr>
        <w:t>（4）迅速组织开展抢险工作，控制危险源、减轻或消除危害，并标明危险区域，封锁危险场所，划定警戒区，实行交通管制以及其他控制措施，交通运输、铁路、公安等有关部门要保证紧急情况下应急交通工具的优先安排、优先调度、优先放行，确保抢险救灾物资和人员能够及时、安全送达。</w:t>
      </w:r>
    </w:p>
    <w:p w14:paraId="7E4CCB96">
      <w:pPr>
        <w:spacing w:line="578" w:lineRule="exact"/>
        <w:ind w:firstLine="640" w:firstLineChars="200"/>
        <w:rPr>
          <w:rFonts w:ascii="方正楷体_GBK" w:eastAsia="方正楷体_GBK"/>
          <w:sz w:val="32"/>
          <w:szCs w:val="32"/>
        </w:rPr>
      </w:pPr>
      <w:r>
        <w:rPr>
          <w:rFonts w:eastAsia="方正仿宋_GBK"/>
          <w:sz w:val="32"/>
          <w:szCs w:val="32"/>
        </w:rPr>
        <w:t>（5）立即抢修被损坏的交通、水利、通信、供（排）水、供电、供气、供热等公共设施，短时难以恢复的，要实施临时过渡方案，保障社会生产生活基本需要。</w:t>
      </w:r>
    </w:p>
    <w:p w14:paraId="6E35FE6C">
      <w:pPr>
        <w:spacing w:line="578" w:lineRule="exact"/>
        <w:ind w:firstLine="640" w:firstLineChars="200"/>
        <w:rPr>
          <w:rFonts w:ascii="方正楷体_GBK" w:eastAsia="方正楷体_GBK"/>
          <w:sz w:val="32"/>
          <w:szCs w:val="32"/>
        </w:rPr>
      </w:pPr>
      <w:r>
        <w:rPr>
          <w:rFonts w:eastAsia="方正仿宋_GBK"/>
          <w:sz w:val="32"/>
          <w:szCs w:val="32"/>
        </w:rPr>
        <w:t>（6）开展环境应急监测，追踪研判污染范围、程度和发展趋势；切断污染源，控制和处置污染物，保护饮用水水源地等环境敏感目标，减轻环境影响；开展灾后环境风险排查，整治污染隐患，妥善处置事件应对产生的废物。</w:t>
      </w:r>
    </w:p>
    <w:p w14:paraId="7AA1AEFE">
      <w:pPr>
        <w:spacing w:line="578" w:lineRule="exact"/>
        <w:ind w:firstLine="640" w:firstLineChars="200"/>
        <w:rPr>
          <w:rFonts w:ascii="方正楷体_GBK" w:eastAsia="方正楷体_GBK"/>
          <w:sz w:val="32"/>
          <w:szCs w:val="32"/>
        </w:rPr>
      </w:pPr>
      <w:r>
        <w:rPr>
          <w:rFonts w:eastAsia="方正仿宋_GBK"/>
          <w:sz w:val="32"/>
          <w:szCs w:val="32"/>
        </w:rPr>
        <w:t>（7）禁止或者限制使用有关设备、设施，关闭或者限制使用有关场所，中止人员密集的活动或者可能导致危害扩大的生产经营活动以及采取其他保护措施。</w:t>
      </w:r>
    </w:p>
    <w:p w14:paraId="3E116827">
      <w:pPr>
        <w:spacing w:line="578" w:lineRule="exact"/>
        <w:ind w:firstLine="640" w:firstLineChars="200"/>
        <w:rPr>
          <w:rFonts w:ascii="方正楷体_GBK" w:eastAsia="方正楷体_GBK"/>
          <w:sz w:val="32"/>
          <w:szCs w:val="32"/>
        </w:rPr>
      </w:pPr>
      <w:r>
        <w:rPr>
          <w:rFonts w:eastAsia="方正仿宋_GBK"/>
          <w:sz w:val="32"/>
          <w:szCs w:val="32"/>
        </w:rPr>
        <w:t>（8）启用本级政府设置的财政预备费和储备的应急救援救灾物资，必要时征用其他急需物资、设备、设施、工具。</w:t>
      </w:r>
    </w:p>
    <w:p w14:paraId="2608EDF2">
      <w:pPr>
        <w:spacing w:line="578" w:lineRule="exact"/>
        <w:ind w:firstLine="640" w:firstLineChars="200"/>
        <w:rPr>
          <w:rFonts w:ascii="方正楷体_GBK" w:eastAsia="方正楷体_GBK"/>
          <w:sz w:val="32"/>
          <w:szCs w:val="32"/>
        </w:rPr>
      </w:pPr>
      <w:r>
        <w:rPr>
          <w:rFonts w:eastAsia="方正仿宋_GBK"/>
          <w:sz w:val="32"/>
          <w:szCs w:val="32"/>
        </w:rPr>
        <w:t>（9）做好受灾群众的基本生活保障工作，提供食品、饮用水、衣被、燃料等基本生活必需品和临时住所，开展卫生防疫工作，确保灾区群众有饭吃、有水喝、有衣穿、有住处、有学上、有病能及时医治，确保大灾之后无大疫。</w:t>
      </w:r>
    </w:p>
    <w:p w14:paraId="23F0F90C">
      <w:pPr>
        <w:spacing w:line="578" w:lineRule="exact"/>
        <w:ind w:firstLine="640" w:firstLineChars="200"/>
        <w:rPr>
          <w:rFonts w:ascii="方正楷体_GBK" w:eastAsia="方正楷体_GBK"/>
          <w:sz w:val="32"/>
          <w:szCs w:val="32"/>
        </w:rPr>
      </w:pPr>
      <w:r>
        <w:rPr>
          <w:rFonts w:eastAsia="方正仿宋_GBK"/>
          <w:sz w:val="32"/>
          <w:szCs w:val="32"/>
        </w:rPr>
        <w:t>（10）开展遇难人员善后处置工作，妥善处理遇难人员遗体，做好遇难人员家属安抚等工作。</w:t>
      </w:r>
    </w:p>
    <w:p w14:paraId="4FE9F54E">
      <w:pPr>
        <w:spacing w:line="578" w:lineRule="exact"/>
        <w:ind w:firstLine="640" w:firstLineChars="200"/>
        <w:rPr>
          <w:rFonts w:ascii="方正楷体_GBK" w:eastAsia="方正楷体_GBK"/>
          <w:sz w:val="32"/>
          <w:szCs w:val="32"/>
        </w:rPr>
      </w:pPr>
      <w:r>
        <w:rPr>
          <w:rFonts w:eastAsia="方正仿宋_GBK"/>
          <w:sz w:val="32"/>
          <w:szCs w:val="32"/>
        </w:rPr>
        <w:t>（11）组织开展救灾捐赠活动，接收、管理、分配救灾捐赠款物。</w:t>
      </w:r>
    </w:p>
    <w:p w14:paraId="5D2AEEB9">
      <w:pPr>
        <w:spacing w:line="578" w:lineRule="exact"/>
        <w:ind w:firstLine="640" w:firstLineChars="200"/>
        <w:rPr>
          <w:rFonts w:ascii="方正楷体_GBK" w:eastAsia="方正楷体_GBK"/>
          <w:sz w:val="32"/>
          <w:szCs w:val="32"/>
        </w:rPr>
      </w:pPr>
      <w:r>
        <w:rPr>
          <w:rFonts w:eastAsia="方正仿宋_GBK"/>
          <w:sz w:val="32"/>
          <w:szCs w:val="32"/>
        </w:rPr>
        <w:t>（12）依法从严惩处囤积居奇、哄抬物价、制假售假等扰乱市场秩序的行为，稳定市场价格，维护市场秩序。</w:t>
      </w:r>
    </w:p>
    <w:p w14:paraId="54E7C9A6">
      <w:pPr>
        <w:spacing w:line="578" w:lineRule="exact"/>
        <w:ind w:firstLine="640" w:firstLineChars="200"/>
        <w:rPr>
          <w:rFonts w:ascii="方正楷体_GBK" w:eastAsia="方正楷体_GBK"/>
          <w:sz w:val="32"/>
          <w:szCs w:val="32"/>
        </w:rPr>
      </w:pPr>
      <w:r>
        <w:rPr>
          <w:rFonts w:eastAsia="方正仿宋_GBK"/>
          <w:sz w:val="32"/>
          <w:szCs w:val="32"/>
        </w:rPr>
        <w:t>（13）依法从严惩处哄抢财物、干扰破坏应急处置工作等扰乱社会秩序的行为，维护社会治安。</w:t>
      </w:r>
    </w:p>
    <w:p w14:paraId="46C9254A">
      <w:pPr>
        <w:spacing w:line="578" w:lineRule="exact"/>
        <w:ind w:firstLine="640" w:firstLineChars="200"/>
        <w:rPr>
          <w:rFonts w:ascii="方正楷体_GBK" w:eastAsia="方正楷体_GBK"/>
          <w:sz w:val="32"/>
          <w:szCs w:val="32"/>
        </w:rPr>
      </w:pPr>
      <w:r>
        <w:rPr>
          <w:rFonts w:eastAsia="方正仿宋_GBK"/>
          <w:sz w:val="32"/>
          <w:szCs w:val="32"/>
        </w:rPr>
        <w:t>（14）采取防止发生次生、衍生灾害和事件的必要措施。</w:t>
      </w:r>
    </w:p>
    <w:p w14:paraId="66302976">
      <w:pPr>
        <w:spacing w:line="578" w:lineRule="exact"/>
        <w:ind w:firstLine="640" w:firstLineChars="200"/>
        <w:rPr>
          <w:rFonts w:eastAsia="方正仿宋_GBK"/>
          <w:sz w:val="32"/>
          <w:szCs w:val="32"/>
        </w:rPr>
      </w:pPr>
      <w:r>
        <w:rPr>
          <w:rFonts w:eastAsia="方正仿宋_GBK"/>
          <w:sz w:val="32"/>
          <w:szCs w:val="32"/>
        </w:rPr>
        <w:t>4.4.2社会安全事件发生后，在市委、市政府领导下，在相应市级议事协调机构或市级专项应急指挥机构指挥下，事发乡（镇）人民政府、街道办事处及市直有关部门单位应采取下列一项或者多项应急措：</w:t>
      </w:r>
    </w:p>
    <w:p w14:paraId="3D29D2B7">
      <w:pPr>
        <w:spacing w:line="578" w:lineRule="exact"/>
        <w:ind w:firstLine="640" w:firstLineChars="200"/>
        <w:rPr>
          <w:rFonts w:eastAsia="方正仿宋_GBK"/>
          <w:sz w:val="32"/>
          <w:szCs w:val="32"/>
        </w:rPr>
      </w:pPr>
      <w:r>
        <w:rPr>
          <w:rFonts w:eastAsia="方正仿宋_GBK"/>
          <w:sz w:val="32"/>
          <w:szCs w:val="32"/>
        </w:rPr>
        <w:t>（1）尽快了解和分析事件起因，有针对性地开展法制宣传和说服教育，及时疏导、化解矛盾和冲突。</w:t>
      </w:r>
    </w:p>
    <w:p w14:paraId="00E68B6D">
      <w:pPr>
        <w:spacing w:line="578" w:lineRule="exact"/>
        <w:ind w:firstLine="640" w:firstLineChars="200"/>
        <w:rPr>
          <w:rFonts w:eastAsia="方正仿宋_GBK"/>
          <w:sz w:val="32"/>
          <w:szCs w:val="32"/>
        </w:rPr>
      </w:pPr>
      <w:r>
        <w:rPr>
          <w:rFonts w:eastAsia="方正仿宋_GBK"/>
          <w:sz w:val="32"/>
          <w:szCs w:val="32"/>
        </w:rPr>
        <w:t>（2）维护现场治安秩序，对使用器械相互对抗或以暴力行为参与冲突的当事人实行强制隔离，妥善解决现场纠纷和争端，控制事态发展。</w:t>
      </w:r>
    </w:p>
    <w:p w14:paraId="6E53A901">
      <w:pPr>
        <w:spacing w:line="578" w:lineRule="exact"/>
        <w:ind w:firstLine="640" w:firstLineChars="200"/>
        <w:rPr>
          <w:rFonts w:eastAsia="方正仿宋_GBK"/>
          <w:sz w:val="32"/>
          <w:szCs w:val="32"/>
        </w:rPr>
      </w:pPr>
      <w:r>
        <w:rPr>
          <w:rFonts w:eastAsia="方正仿宋_GBK"/>
          <w:sz w:val="32"/>
          <w:szCs w:val="32"/>
        </w:rPr>
        <w:t>（3）对特定区域内的建筑物、交通工具、设备、设施及燃料、燃气、电力、水的供应进行控制，必要时依法对网络、通信进行管控。</w:t>
      </w:r>
    </w:p>
    <w:p w14:paraId="74F5FF85">
      <w:pPr>
        <w:spacing w:line="578" w:lineRule="exact"/>
        <w:ind w:firstLine="640" w:firstLineChars="200"/>
        <w:rPr>
          <w:rFonts w:eastAsia="方正仿宋_GBK"/>
          <w:sz w:val="32"/>
          <w:szCs w:val="32"/>
        </w:rPr>
      </w:pPr>
      <w:r>
        <w:rPr>
          <w:rFonts w:eastAsia="方正仿宋_GBK"/>
          <w:sz w:val="32"/>
          <w:szCs w:val="32"/>
        </w:rPr>
        <w:t>（4）封锁有关场所、道路，查验现场人员的身份证件，限制有关公共场所内的活动。</w:t>
      </w:r>
    </w:p>
    <w:p w14:paraId="13340476">
      <w:pPr>
        <w:spacing w:line="578" w:lineRule="exact"/>
        <w:ind w:firstLine="640" w:firstLineChars="200"/>
        <w:rPr>
          <w:rFonts w:eastAsia="方正仿宋_GBK"/>
          <w:sz w:val="32"/>
          <w:szCs w:val="32"/>
        </w:rPr>
      </w:pPr>
      <w:r>
        <w:rPr>
          <w:rFonts w:eastAsia="方正仿宋_GBK"/>
          <w:sz w:val="32"/>
          <w:szCs w:val="32"/>
        </w:rPr>
        <w:t>（5）加强对易受冲击的核心机关和单位的警卫，在党政机关、军事机关、重要通讯社、广播电台、电视台等单位附近设置临时警戒线，加强对重点敏感人员、场所、部位和标志性建筑的安全保护。</w:t>
      </w:r>
    </w:p>
    <w:p w14:paraId="7E8906D7">
      <w:pPr>
        <w:spacing w:line="578" w:lineRule="exact"/>
        <w:ind w:firstLine="640" w:firstLineChars="200"/>
        <w:rPr>
          <w:rFonts w:eastAsia="方正仿宋_GBK"/>
          <w:sz w:val="32"/>
          <w:szCs w:val="32"/>
        </w:rPr>
      </w:pPr>
      <w:r>
        <w:rPr>
          <w:rFonts w:eastAsia="方正仿宋_GBK"/>
          <w:sz w:val="32"/>
          <w:szCs w:val="32"/>
        </w:rPr>
        <w:t>（6）严重危害社会治安秩序的事件发生时，立即依法出动警力，加大社会面检查、巡逻、控制力度，根据现场情况依法采取相应的强制性措施，尽快使社会秩序恢复正常。</w:t>
      </w:r>
    </w:p>
    <w:p w14:paraId="4E22E8B6">
      <w:pPr>
        <w:spacing w:line="578" w:lineRule="exact"/>
        <w:ind w:firstLine="640" w:firstLineChars="200"/>
        <w:rPr>
          <w:rFonts w:eastAsia="方正仿宋_GBK"/>
          <w:sz w:val="32"/>
          <w:szCs w:val="32"/>
        </w:rPr>
      </w:pPr>
      <w:r>
        <w:rPr>
          <w:rFonts w:eastAsia="方正仿宋_GBK"/>
          <w:sz w:val="32"/>
          <w:szCs w:val="32"/>
        </w:rPr>
        <w:t>（7）法律法规等规定的其他必要措施。</w:t>
      </w:r>
    </w:p>
    <w:p w14:paraId="62C1827E">
      <w:pPr>
        <w:spacing w:line="578" w:lineRule="exact"/>
        <w:ind w:firstLine="640" w:firstLineChars="200"/>
        <w:rPr>
          <w:rFonts w:eastAsia="方正仿宋_GBK"/>
          <w:sz w:val="32"/>
          <w:szCs w:val="32"/>
        </w:rPr>
      </w:pPr>
      <w:r>
        <w:rPr>
          <w:rFonts w:eastAsia="方正仿宋_GBK"/>
          <w:sz w:val="32"/>
          <w:szCs w:val="32"/>
        </w:rPr>
        <w:t>4.4.3交通运输、医学救援、能源供应、通信保障、灾害现场信息、应急物资装备、自然灾害救助、社会秩序、新闻宣传、遇难人员遗体处置、慈善力量动员等应急保障工作牵头协调部门，应会同支持配合部门和单位组织编制并指导相关部门编制应急保障类预案，督促做好保障体系建设，完善快速反应联动机制。应急保障类应急预案作为专项应急预案管理，应急部门负责做好衔接。</w:t>
      </w:r>
    </w:p>
    <w:p w14:paraId="14F04DD0">
      <w:pPr>
        <w:spacing w:line="578" w:lineRule="exact"/>
        <w:ind w:firstLine="640" w:firstLineChars="200"/>
        <w:rPr>
          <w:rFonts w:eastAsia="方正仿宋_GBK"/>
          <w:sz w:val="32"/>
          <w:szCs w:val="32"/>
        </w:rPr>
      </w:pPr>
      <w:r>
        <w:rPr>
          <w:rFonts w:eastAsia="方正仿宋_GBK"/>
          <w:sz w:val="32"/>
          <w:szCs w:val="32"/>
        </w:rPr>
        <w:t>4.4.4当突发事件严重影响经济正常运行时，市政府采取救助、保障、控制等必要的应急措施，保障人民群众的基本生产生活需要，最大程度减轻突发事件的影响。发生或者即将发生重大以上突发事件，采取一般处置措施无法控制和消除其严重社会危害，需要宣布全市进入紧急状态的，经市委市政府研究决定，由市政府及时上报白城市政府，由上级政府依职权决定。进入紧急状态的决定应当依法立即通过国家通讯社和广播电台、电视台等新闻媒体公布。</w:t>
      </w:r>
    </w:p>
    <w:p w14:paraId="25095149">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4.5信息发布与舆论引导</w:t>
      </w:r>
    </w:p>
    <w:p w14:paraId="6E2EDC3B">
      <w:pPr>
        <w:spacing w:line="578" w:lineRule="exact"/>
        <w:ind w:firstLine="640" w:firstLineChars="200"/>
        <w:rPr>
          <w:rFonts w:ascii="方正楷体_GBK" w:eastAsia="方正楷体_GBK"/>
          <w:sz w:val="32"/>
          <w:szCs w:val="32"/>
        </w:rPr>
      </w:pPr>
      <w:r>
        <w:rPr>
          <w:rFonts w:eastAsia="方正仿宋_GBK"/>
          <w:sz w:val="32"/>
          <w:szCs w:val="32"/>
        </w:rPr>
        <w:t>按照前述分级应对和响应分级原则负责应对的组织指挥机构要制定统一的信息发布和舆论引导方案，与突发事件应对处置工作同时研究、同时部署、同步行动。对于可能受到突发事件直接威胁的社会公众，应及时发布预警信息。</w:t>
      </w:r>
    </w:p>
    <w:p w14:paraId="1AAD8679">
      <w:pPr>
        <w:spacing w:line="578" w:lineRule="exact"/>
        <w:ind w:firstLine="640" w:firstLineChars="200"/>
        <w:rPr>
          <w:rFonts w:ascii="方正楷体_GBK" w:eastAsia="方正楷体_GBK"/>
          <w:sz w:val="32"/>
          <w:szCs w:val="32"/>
        </w:rPr>
      </w:pPr>
      <w:r>
        <w:rPr>
          <w:rFonts w:eastAsia="方正仿宋_GBK"/>
          <w:sz w:val="32"/>
          <w:szCs w:val="32"/>
        </w:rPr>
        <w:t>（1）发生特别重大、重大、较大突发事件信息发布和舆论引导工作，由负责突发事件的上级政府，负责统一组织领导。市政府在上级政府的组织领导下，要在事件发生后的第一时间通过权威媒体向社会发布简要信息，最迟要在5小时内发布权威信息，随后发布初步核实情况、政府应对措施和公众防范措施等，根据突发事件处置情况做好后续发布工作。发生一般突发事件后，市政府根据处置进展动态发布信息，按照法律、行政法规和国家另有规定的，从其规定，第一时间通过权威媒体向社会发布简要信息。</w:t>
      </w:r>
    </w:p>
    <w:p w14:paraId="60B91943">
      <w:pPr>
        <w:spacing w:line="578" w:lineRule="exact"/>
        <w:ind w:firstLine="640" w:firstLineChars="200"/>
        <w:rPr>
          <w:rFonts w:ascii="方正楷体_GBK" w:eastAsia="方正楷体_GBK"/>
          <w:sz w:val="32"/>
          <w:szCs w:val="32"/>
        </w:rPr>
      </w:pPr>
      <w:r>
        <w:rPr>
          <w:rFonts w:eastAsia="方正仿宋_GBK"/>
          <w:sz w:val="32"/>
          <w:szCs w:val="32"/>
        </w:rPr>
        <w:t>（2）信息发布由履行统一领导职责的政府设立的组织指挥机构负责。必要时，按照市政府或市专项应急指挥机构要求，市有关部门统筹协调。</w:t>
      </w:r>
    </w:p>
    <w:p w14:paraId="48555925">
      <w:pPr>
        <w:spacing w:line="578" w:lineRule="exact"/>
        <w:ind w:firstLine="640" w:firstLineChars="200"/>
        <w:rPr>
          <w:rFonts w:ascii="方正楷体_GBK" w:eastAsia="方正楷体_GBK"/>
          <w:sz w:val="32"/>
          <w:szCs w:val="32"/>
        </w:rPr>
      </w:pPr>
      <w:r>
        <w:rPr>
          <w:rFonts w:eastAsia="方正仿宋_GBK"/>
          <w:sz w:val="32"/>
          <w:szCs w:val="32"/>
        </w:rPr>
        <w:t>（3）信息发布形式主要包括提供新闻通稿、组织吹风会、接受记者采访，以及运用官方网站、微博、微信、移动客户端、手机短信等官方信息平台发布信息，具体按照有关规定执行。</w:t>
      </w:r>
    </w:p>
    <w:p w14:paraId="2EB7C1B0">
      <w:pPr>
        <w:spacing w:line="578" w:lineRule="exact"/>
        <w:ind w:firstLine="640" w:firstLineChars="200"/>
        <w:rPr>
          <w:rFonts w:ascii="方正楷体_GBK" w:eastAsia="方正楷体_GBK"/>
          <w:sz w:val="32"/>
          <w:szCs w:val="32"/>
        </w:rPr>
      </w:pPr>
      <w:r>
        <w:rPr>
          <w:rFonts w:eastAsia="方正仿宋_GBK"/>
          <w:sz w:val="32"/>
          <w:szCs w:val="32"/>
        </w:rPr>
        <w:t>（4）履行统一领导职责的政府加强网络媒体和移动新媒体信息发布内容管理和舆情分析，及时回应社会关切，迅速澄清谣言，引导网民依法、理性表达意见，形成积极健康的社会舆论。</w:t>
      </w:r>
    </w:p>
    <w:p w14:paraId="2CD1CFCD">
      <w:pPr>
        <w:spacing w:line="578" w:lineRule="exact"/>
        <w:ind w:firstLine="640" w:firstLineChars="200"/>
        <w:rPr>
          <w:rFonts w:eastAsia="方正仿宋_GBK"/>
          <w:sz w:val="32"/>
          <w:szCs w:val="32"/>
        </w:rPr>
      </w:pPr>
      <w:r>
        <w:rPr>
          <w:rFonts w:eastAsia="方正仿宋_GBK"/>
          <w:sz w:val="32"/>
          <w:szCs w:val="32"/>
        </w:rPr>
        <w:t>（5）未经履行统一领导职责的政府设立的组织指挥机构批准，参与突发事件应急处置工作的各有关单位和个人不得擅自对外发布事件原因、伤亡数字、责任追究等突发事件处置工作情况和事态发展信息。任何单位和个人不得编造、传播有关突发事件事态发展或者应急处置工作的虚假信息。</w:t>
      </w:r>
    </w:p>
    <w:p w14:paraId="186CABDD">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4.6应急结束</w:t>
      </w:r>
    </w:p>
    <w:p w14:paraId="712F4A85">
      <w:pPr>
        <w:spacing w:line="578" w:lineRule="exact"/>
        <w:ind w:firstLine="640" w:firstLineChars="200"/>
        <w:rPr>
          <w:rFonts w:eastAsia="方正仿宋_GBK"/>
          <w:sz w:val="32"/>
          <w:szCs w:val="32"/>
        </w:rPr>
      </w:pPr>
      <w:r>
        <w:rPr>
          <w:rFonts w:eastAsia="方正仿宋_GBK"/>
          <w:sz w:val="32"/>
          <w:szCs w:val="32"/>
        </w:rPr>
        <w:t>突发事件应急处置工作结束，或相关威胁和危害得到控制、消除后，履行统一领导职责的政府或应急指挥机构可宣布应急结束，或逐步停止有关应急处置措施，应急救援队伍和工作人员有序撤离。同时，采取或者继续实施必要措施，防止发生自然灾害、事故灾难、公共卫生事件的次生、衍生事件或者重新引发社会安全事件。现场指挥机构停止运行后，通知相关方面解除应急措施，进入过渡时期，逐步恢复生产生活秩序。</w:t>
      </w:r>
    </w:p>
    <w:p w14:paraId="641608BE">
      <w:pPr>
        <w:spacing w:line="578" w:lineRule="exact"/>
        <w:ind w:firstLine="640" w:firstLineChars="200"/>
        <w:rPr>
          <w:rFonts w:ascii="方正黑体_GBK" w:eastAsia="方正黑体_GBK"/>
          <w:sz w:val="32"/>
          <w:szCs w:val="32"/>
        </w:rPr>
      </w:pPr>
      <w:r>
        <w:rPr>
          <w:rFonts w:hint="eastAsia" w:ascii="方正黑体_GBK" w:eastAsia="方正黑体_GBK"/>
          <w:sz w:val="32"/>
          <w:szCs w:val="32"/>
        </w:rPr>
        <w:t>5后期处置</w:t>
      </w:r>
    </w:p>
    <w:p w14:paraId="1915FAB7">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5.1善后处置</w:t>
      </w:r>
    </w:p>
    <w:p w14:paraId="338D7F4F">
      <w:pPr>
        <w:spacing w:line="578" w:lineRule="exact"/>
        <w:ind w:firstLine="640" w:firstLineChars="200"/>
        <w:rPr>
          <w:rFonts w:ascii="方正楷体_GBK" w:eastAsia="方正楷体_GBK"/>
          <w:sz w:val="32"/>
          <w:szCs w:val="32"/>
        </w:rPr>
      </w:pPr>
      <w:r>
        <w:rPr>
          <w:rFonts w:eastAsia="方正仿宋_GBK"/>
          <w:sz w:val="32"/>
          <w:szCs w:val="32"/>
        </w:rPr>
        <w:t>市委、市政府应当根据突发事件受损失情况，制定救助、补偿、抚慰、抚恤、安置等善后工作方案，对突发事件中的伤亡人员、应急处置工作人员，以及紧急调集、征用有关单位及个人的物资，按照规定给予抚恤、补助或补偿，并提供心理咨询及司法援助，妥善解决因处置突发事件引发的矛盾和纠纷。财政部门负责做好突发事件应急救助资金管理，建立与突发事件救助需求相适应的资金保障机制，将应急救助资金和工作经费纳入预算管理，启动市级应急响应后按照有关规定做好突发事件资金保障。有关部门要做好疾病防治和环境污染消除工作。保险监管部门要组织、督促有关保险机构及时开展查勘和理赔工作。对于损失巨大，需要省和白城市援助的，市政府及时向省和白城市政府报告，请求予以支持。</w:t>
      </w:r>
    </w:p>
    <w:p w14:paraId="37363228">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5.2恢复重建</w:t>
      </w:r>
    </w:p>
    <w:p w14:paraId="33AAF941">
      <w:pPr>
        <w:spacing w:line="578" w:lineRule="exact"/>
        <w:ind w:firstLine="640" w:firstLineChars="200"/>
        <w:rPr>
          <w:rFonts w:ascii="方正楷体_GBK" w:eastAsia="方正楷体_GBK"/>
          <w:sz w:val="32"/>
          <w:szCs w:val="32"/>
        </w:rPr>
      </w:pPr>
      <w:r>
        <w:rPr>
          <w:rFonts w:eastAsia="方正仿宋_GBK"/>
          <w:sz w:val="32"/>
          <w:szCs w:val="32"/>
        </w:rPr>
        <w:t>恢复重建工作在市委、市政府统筹指导下，以事发地为主体，灾区群众广泛参与，加大资金、政策、规划统筹，促进资源融合、效能提升。强化事发地重建主体责任，建立务实高效的规划落实推进体系。尊重群众首创精神，引导开展自力更生、生产自救活动。</w:t>
      </w:r>
    </w:p>
    <w:p w14:paraId="7A334FB3">
      <w:pPr>
        <w:spacing w:line="578" w:lineRule="exact"/>
        <w:ind w:firstLine="640" w:firstLineChars="200"/>
        <w:rPr>
          <w:rFonts w:ascii="方正楷体_GBK" w:eastAsia="方正楷体_GBK"/>
          <w:sz w:val="32"/>
          <w:szCs w:val="32"/>
        </w:rPr>
      </w:pPr>
      <w:r>
        <w:rPr>
          <w:rFonts w:eastAsia="方正仿宋_GBK"/>
          <w:sz w:val="32"/>
          <w:szCs w:val="32"/>
        </w:rPr>
        <w:t>（1）恢复重建工作由市政府负责。突发事件应急处置工作结束后，市政府要立即组织制定恢复重建计划，并向白城市政府报告。受突发事件影响，市政府要及时组织和协调发展改革、财政、公安、交通、铁路、工业和信息化、住房和城乡建设、水利等有关部门恢复社会秩序，尽快修复被损坏的交通、通信、供水、排水、供电、供气、供热等公共设施。</w:t>
      </w:r>
    </w:p>
    <w:p w14:paraId="1569A0C7">
      <w:pPr>
        <w:spacing w:line="578" w:lineRule="exact"/>
        <w:ind w:firstLine="640" w:firstLineChars="200"/>
        <w:rPr>
          <w:rFonts w:ascii="方正楷体_GBK" w:eastAsia="方正楷体_GBK"/>
          <w:sz w:val="32"/>
          <w:szCs w:val="32"/>
        </w:rPr>
      </w:pPr>
      <w:r>
        <w:rPr>
          <w:rFonts w:eastAsia="方正仿宋_GBK"/>
          <w:sz w:val="32"/>
          <w:szCs w:val="32"/>
        </w:rPr>
        <w:t>（2）恢复重建工作需要上级资金、物资支持和技术指导支援的，由市政府向白城市政府提出请求。</w:t>
      </w:r>
    </w:p>
    <w:p w14:paraId="3AA0101E">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5.3调查与评估</w:t>
      </w:r>
    </w:p>
    <w:p w14:paraId="24496730">
      <w:pPr>
        <w:spacing w:line="578" w:lineRule="exact"/>
        <w:ind w:firstLine="640" w:firstLineChars="200"/>
        <w:rPr>
          <w:rFonts w:ascii="方正楷体_GBK" w:eastAsia="方正楷体_GBK"/>
          <w:sz w:val="32"/>
          <w:szCs w:val="32"/>
        </w:rPr>
      </w:pPr>
      <w:r>
        <w:rPr>
          <w:rFonts w:eastAsia="方正仿宋_GBK"/>
          <w:sz w:val="32"/>
          <w:szCs w:val="32"/>
        </w:rPr>
        <w:t>（1）突发事件调查评估工作由市政府及时查明突发事件的发生经过和原因，对突发事件造成的损失进行评估；组织参与处置的乡镇</w:t>
      </w:r>
      <w:r>
        <w:rPr>
          <w:rFonts w:hint="eastAsia" w:eastAsia="方正仿宋_GBK"/>
          <w:sz w:val="32"/>
          <w:szCs w:val="32"/>
        </w:rPr>
        <w:t>（</w:t>
      </w:r>
      <w:r>
        <w:rPr>
          <w:rFonts w:eastAsia="方正仿宋_GBK"/>
          <w:sz w:val="32"/>
          <w:szCs w:val="32"/>
        </w:rPr>
        <w:t>街道</w:t>
      </w:r>
      <w:r>
        <w:rPr>
          <w:rFonts w:hint="eastAsia" w:eastAsia="方正仿宋_GBK"/>
          <w:sz w:val="32"/>
          <w:szCs w:val="32"/>
        </w:rPr>
        <w:t>）</w:t>
      </w:r>
      <w:r>
        <w:rPr>
          <w:rFonts w:eastAsia="方正仿宋_GBK"/>
          <w:sz w:val="32"/>
          <w:szCs w:val="32"/>
        </w:rPr>
        <w:t>和有关部门（单位）对应急处置工作进行复盘分析，总结经验教训，制定改进措施；将调查与评估情况向上一级政府提出报告。特别重大突发事件调查评估按照国家有关规定执行;重大突发事件，由省政府或者省政府授权的有关部门组织调查评估，并向省政府作出报告;较大突发事件，由白城市政府或者白城市政府授权的有关部门组织调查评估，并向白城市政府作出报告;一般突发事件由市政府组织调查，并向白城市政府作出报告;对于引起公众关注、造成较大影响的未达到一般级别的突发事件，市政府认为有必要提级调查评估的，由有关机构提请市政府提级调查或有关机构依职责决定提级调查。建立健全较大以上自然灾害和生产安全事故调查评估制度。法律法规对事故调查另有规定的，依照其规定。</w:t>
      </w:r>
    </w:p>
    <w:p w14:paraId="2A706E96">
      <w:pPr>
        <w:spacing w:line="578" w:lineRule="exact"/>
        <w:ind w:firstLine="640" w:firstLineChars="200"/>
        <w:rPr>
          <w:rFonts w:ascii="方正楷体_GBK" w:eastAsia="方正楷体_GBK"/>
          <w:sz w:val="32"/>
          <w:szCs w:val="32"/>
        </w:rPr>
      </w:pPr>
      <w:r>
        <w:rPr>
          <w:rFonts w:eastAsia="方正仿宋_GBK"/>
          <w:sz w:val="32"/>
          <w:szCs w:val="32"/>
        </w:rPr>
        <w:t>（2）各乡镇政府</w:t>
      </w:r>
      <w:r>
        <w:rPr>
          <w:rFonts w:hint="eastAsia" w:eastAsia="方正仿宋_GBK"/>
          <w:sz w:val="32"/>
          <w:szCs w:val="32"/>
        </w:rPr>
        <w:t>（</w:t>
      </w:r>
      <w:r>
        <w:rPr>
          <w:rFonts w:eastAsia="方正仿宋_GBK"/>
          <w:sz w:val="32"/>
          <w:szCs w:val="32"/>
        </w:rPr>
        <w:t>街道</w:t>
      </w:r>
      <w:r>
        <w:rPr>
          <w:rFonts w:hint="eastAsia" w:eastAsia="方正仿宋_GBK"/>
          <w:sz w:val="32"/>
          <w:szCs w:val="32"/>
        </w:rPr>
        <w:t>）</w:t>
      </w:r>
      <w:r>
        <w:rPr>
          <w:rFonts w:eastAsia="方正仿宋_GBK"/>
          <w:sz w:val="32"/>
          <w:szCs w:val="32"/>
        </w:rPr>
        <w:t>和市直有关部门单位对本行业、本领域上年度突发事件进行全面评估，向市政府报告，抄送市应急管理局。</w:t>
      </w:r>
    </w:p>
    <w:p w14:paraId="4A55BC38">
      <w:pPr>
        <w:spacing w:line="578" w:lineRule="exact"/>
        <w:ind w:firstLine="640" w:firstLineChars="200"/>
        <w:rPr>
          <w:rFonts w:ascii="方正黑体_GBK" w:eastAsia="方正黑体_GBK"/>
          <w:sz w:val="32"/>
          <w:szCs w:val="32"/>
        </w:rPr>
      </w:pPr>
      <w:r>
        <w:rPr>
          <w:rFonts w:hint="eastAsia" w:ascii="方正黑体_GBK" w:eastAsia="方正黑体_GBK"/>
          <w:sz w:val="32"/>
          <w:szCs w:val="32"/>
        </w:rPr>
        <w:t>6支持与保障</w:t>
      </w:r>
    </w:p>
    <w:p w14:paraId="19256512">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6.1人力资源</w:t>
      </w:r>
    </w:p>
    <w:p w14:paraId="61AB28FD">
      <w:pPr>
        <w:spacing w:line="578" w:lineRule="exact"/>
        <w:ind w:firstLine="640" w:firstLineChars="200"/>
        <w:rPr>
          <w:rFonts w:ascii="方正楷体_GBK" w:eastAsia="方正楷体_GBK"/>
          <w:sz w:val="32"/>
          <w:szCs w:val="32"/>
        </w:rPr>
      </w:pPr>
      <w:r>
        <w:rPr>
          <w:rFonts w:eastAsia="方正仿宋_GBK"/>
          <w:sz w:val="32"/>
          <w:szCs w:val="32"/>
        </w:rPr>
        <w:t>（1）国家综合性消防救援队伍要加强自身建设和管理，市政府依据法规规定提供必要支持保障。</w:t>
      </w:r>
    </w:p>
    <w:p w14:paraId="68938DE1">
      <w:pPr>
        <w:spacing w:line="578" w:lineRule="exact"/>
        <w:ind w:firstLine="640" w:firstLineChars="200"/>
        <w:rPr>
          <w:rFonts w:ascii="方正楷体_GBK" w:eastAsia="方正楷体_GBK"/>
          <w:sz w:val="32"/>
          <w:szCs w:val="32"/>
        </w:rPr>
      </w:pPr>
      <w:r>
        <w:rPr>
          <w:rFonts w:eastAsia="方正仿宋_GBK"/>
          <w:sz w:val="32"/>
          <w:szCs w:val="32"/>
        </w:rPr>
        <w:t>（2）专业应急救援队伍是应急处置与救援的骨干力量。市应急管理、网信、工业和信息化、公安、自然资源、生态环境、交通运输、水利、住房和城乡建设、农业农村、文化和旅游、卫生健康、发展和改革、商务、林草、新闻宣传等部门根据职能分工和实际需要，在应急管理部门的统筹指导下，建立和管理本行业、本领域的专业应急队伍。</w:t>
      </w:r>
    </w:p>
    <w:p w14:paraId="434698A7">
      <w:pPr>
        <w:spacing w:line="578" w:lineRule="exact"/>
        <w:ind w:firstLine="640" w:firstLineChars="200"/>
        <w:rPr>
          <w:rFonts w:ascii="方正楷体_GBK" w:eastAsia="方正楷体_GBK"/>
          <w:sz w:val="32"/>
          <w:szCs w:val="32"/>
        </w:rPr>
      </w:pPr>
      <w:r>
        <w:rPr>
          <w:rFonts w:eastAsia="方正仿宋_GBK"/>
          <w:sz w:val="32"/>
          <w:szCs w:val="32"/>
        </w:rPr>
        <w:t>（3）军队和武警部队是应急处置与救援的突击力量。市政府依法将军队和武警部队应急力量纳入应急力量体系建设，统筹规划，合理布局。建立健全军地协调联动机制，应急管理信息系统实现互联互通。按照执行应急任务能力要求，配备必要的装备，加强有针对性的训练和演练。</w:t>
      </w:r>
    </w:p>
    <w:p w14:paraId="2AACD88F">
      <w:pPr>
        <w:spacing w:line="578" w:lineRule="exact"/>
        <w:ind w:firstLine="640" w:firstLineChars="200"/>
        <w:rPr>
          <w:rFonts w:ascii="方正楷体_GBK" w:eastAsia="方正楷体_GBK"/>
          <w:sz w:val="32"/>
          <w:szCs w:val="32"/>
        </w:rPr>
      </w:pPr>
      <w:r>
        <w:rPr>
          <w:rFonts w:eastAsia="方正仿宋_GBK"/>
          <w:sz w:val="32"/>
          <w:szCs w:val="32"/>
        </w:rPr>
        <w:t>（4）基层应急队伍是第一时间先期处置的重要力量。各乡镇（街道）及村（居）民委员会应当单独建立或者与有关单位、社会组织共同建立基层应急队伍。</w:t>
      </w:r>
    </w:p>
    <w:p w14:paraId="2BCDB900">
      <w:pPr>
        <w:spacing w:line="578" w:lineRule="exact"/>
        <w:ind w:firstLine="640" w:firstLineChars="200"/>
        <w:rPr>
          <w:rFonts w:ascii="方正楷体_GBK" w:eastAsia="方正楷体_GBK"/>
          <w:sz w:val="32"/>
          <w:szCs w:val="32"/>
        </w:rPr>
      </w:pPr>
      <w:r>
        <w:rPr>
          <w:rFonts w:eastAsia="方正仿宋_GBK"/>
          <w:sz w:val="32"/>
          <w:szCs w:val="32"/>
        </w:rPr>
        <w:t>（5）社会应急队伍是应急处置与救援的辅助力量。各乡镇</w:t>
      </w:r>
      <w:r>
        <w:rPr>
          <w:rFonts w:hint="eastAsia" w:eastAsia="方正仿宋_GBK"/>
          <w:sz w:val="32"/>
          <w:szCs w:val="32"/>
        </w:rPr>
        <w:t>（</w:t>
      </w:r>
      <w:r>
        <w:rPr>
          <w:rFonts w:eastAsia="方正仿宋_GBK"/>
          <w:sz w:val="32"/>
          <w:szCs w:val="32"/>
        </w:rPr>
        <w:t>街道</w:t>
      </w:r>
      <w:r>
        <w:rPr>
          <w:rFonts w:hint="eastAsia" w:eastAsia="方正仿宋_GBK"/>
          <w:sz w:val="32"/>
          <w:szCs w:val="32"/>
        </w:rPr>
        <w:t>）</w:t>
      </w:r>
      <w:r>
        <w:rPr>
          <w:rFonts w:eastAsia="方正仿宋_GBK"/>
          <w:sz w:val="32"/>
          <w:szCs w:val="32"/>
        </w:rPr>
        <w:t>和各有关部门要制定相关政策措施，充分发挥红十字会和共青团作用，鼓励企事业单位、社会组织及公民个人等有序参与应急工作。</w:t>
      </w:r>
    </w:p>
    <w:p w14:paraId="1D3A51DD">
      <w:pPr>
        <w:spacing w:line="578" w:lineRule="exact"/>
        <w:ind w:firstLine="640" w:firstLineChars="200"/>
        <w:rPr>
          <w:rFonts w:ascii="方正楷体_GBK" w:eastAsia="方正楷体_GBK"/>
          <w:sz w:val="32"/>
          <w:szCs w:val="32"/>
        </w:rPr>
      </w:pPr>
      <w:r>
        <w:rPr>
          <w:rFonts w:eastAsia="方正仿宋_GBK"/>
          <w:sz w:val="32"/>
          <w:szCs w:val="32"/>
        </w:rPr>
        <w:t>（6）推进应急力量训练条件统建共用、开放共享、构建救援合作机制，创新组织实施模式，搭建信息服务平台，分类推进试点先行，营造良好激励环境。</w:t>
      </w:r>
    </w:p>
    <w:p w14:paraId="4D4ABDF5">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6.2财力支持</w:t>
      </w:r>
    </w:p>
    <w:p w14:paraId="1E89B6A6">
      <w:pPr>
        <w:spacing w:line="578" w:lineRule="exact"/>
        <w:ind w:firstLine="640" w:firstLineChars="200"/>
        <w:rPr>
          <w:rFonts w:ascii="方正楷体_GBK" w:eastAsia="方正楷体_GBK"/>
          <w:sz w:val="32"/>
          <w:szCs w:val="32"/>
        </w:rPr>
      </w:pPr>
      <w:r>
        <w:rPr>
          <w:rFonts w:eastAsia="方正仿宋_GBK"/>
          <w:sz w:val="32"/>
          <w:szCs w:val="32"/>
        </w:rPr>
        <w:t>（1）市政府要将突发事件防范和应对工作所需经费纳入</w:t>
      </w:r>
      <w:r>
        <w:rPr>
          <w:rFonts w:hint="eastAsia" w:eastAsia="方正仿宋_GBK"/>
          <w:sz w:val="32"/>
          <w:szCs w:val="32"/>
        </w:rPr>
        <w:t>市</w:t>
      </w:r>
      <w:r>
        <w:rPr>
          <w:rFonts w:eastAsia="方正仿宋_GBK"/>
          <w:sz w:val="32"/>
          <w:szCs w:val="32"/>
        </w:rPr>
        <w:t>级财政预算。</w:t>
      </w:r>
    </w:p>
    <w:p w14:paraId="6389A3B1">
      <w:pPr>
        <w:spacing w:line="578" w:lineRule="exact"/>
        <w:ind w:firstLine="640" w:firstLineChars="200"/>
        <w:rPr>
          <w:rFonts w:ascii="方正楷体_GBK" w:eastAsia="方正楷体_GBK"/>
          <w:sz w:val="32"/>
          <w:szCs w:val="32"/>
        </w:rPr>
      </w:pPr>
      <w:r>
        <w:rPr>
          <w:rFonts w:eastAsia="方正仿宋_GBK"/>
          <w:sz w:val="32"/>
          <w:szCs w:val="32"/>
        </w:rPr>
        <w:t>（2）处置突发事件所需由财政负担的经费，按照财政事权和支出责任划分，分级负担。市级所需突发事件应急准备、应急演练和救援救灾工作资金由市政府有关部门提出，经市财政局审核后，按规定程序列入年度市级财政预算。</w:t>
      </w:r>
    </w:p>
    <w:p w14:paraId="2BA70263">
      <w:pPr>
        <w:spacing w:line="578" w:lineRule="exact"/>
        <w:ind w:firstLine="640" w:firstLineChars="200"/>
        <w:rPr>
          <w:rFonts w:ascii="方正楷体_GBK" w:eastAsia="方正楷体_GBK"/>
          <w:sz w:val="32"/>
          <w:szCs w:val="32"/>
        </w:rPr>
      </w:pPr>
      <w:r>
        <w:rPr>
          <w:rFonts w:eastAsia="方正仿宋_GBK"/>
          <w:sz w:val="32"/>
          <w:szCs w:val="32"/>
        </w:rPr>
        <w:t>（3）市政府有关部门研究提出相应征用补偿或救助政策，报市政府审批。市级财政和审计部门要对突发事件财政应急保障资金的使用和效果进行监督和评估。</w:t>
      </w:r>
    </w:p>
    <w:p w14:paraId="52ECEF50">
      <w:pPr>
        <w:spacing w:line="578" w:lineRule="exact"/>
        <w:ind w:firstLine="640" w:firstLineChars="200"/>
        <w:rPr>
          <w:rFonts w:ascii="方正楷体_GBK" w:eastAsia="方正楷体_GBK"/>
          <w:sz w:val="32"/>
          <w:szCs w:val="32"/>
        </w:rPr>
      </w:pPr>
      <w:r>
        <w:rPr>
          <w:rFonts w:eastAsia="方正仿宋_GBK"/>
          <w:sz w:val="32"/>
          <w:szCs w:val="32"/>
        </w:rPr>
        <w:t>（4）鼓励公民、法人或其他组织(包括国际组织)按照《中华人民共和国慈善法》、《中华人民共和国公益事业捐赠法》等有关法律规定，为应对突发事件提供物资、装备、资金、技术支持和捐赠。</w:t>
      </w:r>
    </w:p>
    <w:p w14:paraId="414F4FA7">
      <w:pPr>
        <w:spacing w:line="578" w:lineRule="exact"/>
        <w:ind w:firstLine="640" w:firstLineChars="200"/>
        <w:rPr>
          <w:rFonts w:ascii="方正楷体_GBK" w:eastAsia="方正楷体_GBK"/>
          <w:sz w:val="32"/>
          <w:szCs w:val="32"/>
        </w:rPr>
      </w:pPr>
      <w:r>
        <w:rPr>
          <w:rFonts w:eastAsia="方正仿宋_GBK"/>
          <w:sz w:val="32"/>
          <w:szCs w:val="32"/>
        </w:rPr>
        <w:t>（5）建立健全灾害风险保险体系，鼓励单位和公民参加保险。加快推进巨灾保险制度，推行安全生产、环境污染和食品安全责任保险，市政府有关部门单位安排应急救援人员参与可能发生人身危险的抢险救援行动前，应当为其购买相应的保险。</w:t>
      </w:r>
    </w:p>
    <w:p w14:paraId="787565BC">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6.3物资装备</w:t>
      </w:r>
    </w:p>
    <w:p w14:paraId="22EB982F">
      <w:pPr>
        <w:spacing w:line="578" w:lineRule="exact"/>
        <w:ind w:firstLine="640" w:firstLineChars="200"/>
        <w:rPr>
          <w:rFonts w:ascii="方正楷体_GBK" w:eastAsia="方正楷体_GBK"/>
          <w:sz w:val="32"/>
          <w:szCs w:val="32"/>
        </w:rPr>
      </w:pPr>
      <w:r>
        <w:rPr>
          <w:rFonts w:eastAsia="方正仿宋_GBK"/>
          <w:sz w:val="32"/>
          <w:szCs w:val="32"/>
        </w:rPr>
        <w:t>（1）市应急局会同市财政局、市公安局、市商务局、市卫健局、市工信局、市交通局等制定应急物资储备和应急救援装备规划并组织实施。按照集中管理、统一调拨、平时服务、灾时应急、采储结合、节约高效的原则，及突发事件风险评估和应急物资峰值需求预测，统筹实物储备、生产能力储备、社会储备，完善储备品类、规模、结构和方式；加强对物资储备的监督管理，及时予以补充和更新；建立健全市重要应急物资监测网络、预警体系和应急物资生产、采购、储备、调拨及紧急配送体系，对应急救援物资实行集中管理、统一调拨、统一配送，确保应急物资及时供应。</w:t>
      </w:r>
    </w:p>
    <w:p w14:paraId="6B32D29F">
      <w:pPr>
        <w:spacing w:line="578" w:lineRule="exact"/>
        <w:ind w:firstLine="640" w:firstLineChars="200"/>
        <w:rPr>
          <w:rFonts w:ascii="方正楷体_GBK" w:eastAsia="方正楷体_GBK"/>
          <w:sz w:val="32"/>
          <w:szCs w:val="32"/>
        </w:rPr>
      </w:pPr>
      <w:r>
        <w:rPr>
          <w:rFonts w:eastAsia="方正仿宋_GBK"/>
          <w:sz w:val="32"/>
          <w:szCs w:val="32"/>
        </w:rPr>
        <w:t>（2）市政府和各乡镇</w:t>
      </w:r>
      <w:r>
        <w:rPr>
          <w:rFonts w:hint="eastAsia" w:eastAsia="方正仿宋_GBK"/>
          <w:sz w:val="32"/>
          <w:szCs w:val="32"/>
        </w:rPr>
        <w:t>（</w:t>
      </w:r>
      <w:r>
        <w:rPr>
          <w:rFonts w:eastAsia="方正仿宋_GBK"/>
          <w:sz w:val="32"/>
          <w:szCs w:val="32"/>
        </w:rPr>
        <w:t>街道</w:t>
      </w:r>
      <w:r>
        <w:rPr>
          <w:rFonts w:hint="eastAsia" w:eastAsia="方正仿宋_GBK"/>
          <w:sz w:val="32"/>
          <w:szCs w:val="32"/>
        </w:rPr>
        <w:t>）</w:t>
      </w:r>
      <w:r>
        <w:rPr>
          <w:rFonts w:eastAsia="方正仿宋_GBK"/>
          <w:sz w:val="32"/>
          <w:szCs w:val="32"/>
        </w:rPr>
        <w:t>应根据有关法律、行政法规和应急预案的规定，做好物资装备储备工作，或与有关企业签订协议，保障应急救援物资、生活必需品和应急处置装备的生产、供给。</w:t>
      </w:r>
    </w:p>
    <w:p w14:paraId="13FE9C97">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6.4科技支撑</w:t>
      </w:r>
    </w:p>
    <w:p w14:paraId="31417144">
      <w:pPr>
        <w:spacing w:line="578" w:lineRule="exact"/>
        <w:ind w:firstLine="640" w:firstLineChars="200"/>
        <w:rPr>
          <w:rFonts w:ascii="方正楷体_GBK" w:eastAsia="方正楷体_GBK"/>
          <w:sz w:val="32"/>
          <w:szCs w:val="32"/>
        </w:rPr>
      </w:pPr>
      <w:r>
        <w:rPr>
          <w:rFonts w:eastAsia="方正仿宋_GBK"/>
          <w:sz w:val="32"/>
          <w:szCs w:val="32"/>
        </w:rPr>
        <w:t>（1）市政府及有关部门要加强应急管理科技支撑机构建设，积累基础资料，促进科技成果交流共享；推进公共安全和应急产业领域创新能力建设，加强关键核心、基础前沿技术攻关，鼓励、扶持教学科研机构和有关企业研究开发用于突发事件预防、监测、预警、应急处置与救援的新技术、新设备、新工具和新药品。</w:t>
      </w:r>
    </w:p>
    <w:p w14:paraId="50C5160C">
      <w:pPr>
        <w:spacing w:line="578" w:lineRule="exact"/>
        <w:ind w:firstLine="640" w:firstLineChars="200"/>
        <w:rPr>
          <w:rFonts w:ascii="方正楷体_GBK" w:eastAsia="方正楷体_GBK"/>
          <w:sz w:val="32"/>
          <w:szCs w:val="32"/>
        </w:rPr>
      </w:pPr>
      <w:r>
        <w:rPr>
          <w:rFonts w:eastAsia="方正仿宋_GBK"/>
          <w:sz w:val="32"/>
          <w:szCs w:val="32"/>
        </w:rPr>
        <w:t>（2）以信息化推进应急管理现代化。充分利用物联网、大数据、云计算、人工智能等，推进立体化监测预警网络、空天地一体化韧性抗毁应急通信网络、大数据支撑体系、“智慧大脑”等建设，提高监测预警能力、辅助指挥决策能力、救援实战能力和社会动员能力。</w:t>
      </w:r>
    </w:p>
    <w:p w14:paraId="48CBA943">
      <w:pPr>
        <w:spacing w:line="578" w:lineRule="exact"/>
        <w:ind w:firstLine="640" w:firstLineChars="200"/>
        <w:rPr>
          <w:rFonts w:ascii="方正楷体_GBK" w:eastAsia="方正楷体_GBK"/>
          <w:sz w:val="32"/>
          <w:szCs w:val="32"/>
        </w:rPr>
      </w:pPr>
      <w:r>
        <w:rPr>
          <w:rFonts w:eastAsia="方正仿宋_GBK"/>
          <w:sz w:val="32"/>
          <w:szCs w:val="32"/>
        </w:rPr>
        <w:t>（3）建立健全市应急指挥平台体系。市应急管理部门及有关部门要充分利用现有政府系统办公业务资源和专业系统资源，建立健全应急指挥场所、基础支撑系统和综合应用系统，规范技术标准，配置移动指挥系统，建立市级应急指挥平台和有关部门应急指挥平台，满足突发事件监测监控、预测预警、值守应急、信息报告汇总与发布、视频会商、综合研判、辅助决策、指挥协调、资源调用和总结评估等功能。有条件的乡镇（街道）也可建设适用的应急指挥平台，并与市应急指挥平台互联互通。</w:t>
      </w:r>
    </w:p>
    <w:p w14:paraId="0030C946">
      <w:pPr>
        <w:spacing w:line="578" w:lineRule="exact"/>
        <w:ind w:firstLine="640" w:firstLineChars="200"/>
        <w:rPr>
          <w:rFonts w:ascii="方正黑体_GBK" w:eastAsia="方正黑体_GBK"/>
          <w:sz w:val="32"/>
          <w:szCs w:val="32"/>
        </w:rPr>
      </w:pPr>
      <w:r>
        <w:rPr>
          <w:rFonts w:hint="eastAsia" w:ascii="方正黑体_GBK" w:eastAsia="方正黑体_GBK"/>
          <w:sz w:val="32"/>
          <w:szCs w:val="32"/>
        </w:rPr>
        <w:t>7预案管理</w:t>
      </w:r>
    </w:p>
    <w:p w14:paraId="70DC8BA8">
      <w:pPr>
        <w:spacing w:line="578" w:lineRule="exact"/>
        <w:ind w:firstLine="640" w:firstLineChars="200"/>
        <w:rPr>
          <w:rFonts w:ascii="方正楷体_GBK" w:eastAsia="方正楷体_GBK"/>
          <w:sz w:val="32"/>
          <w:szCs w:val="32"/>
        </w:rPr>
      </w:pPr>
      <w:r>
        <w:rPr>
          <w:rFonts w:eastAsia="方正仿宋_GBK"/>
          <w:sz w:val="32"/>
          <w:szCs w:val="32"/>
        </w:rPr>
        <w:t>应急预案管理遵循统筹推进、分类指导、分级负责、动态管理的原则，主要包括应急预案的规划、编制、审批、发布、备案、演练、评估、修订等工作。</w:t>
      </w:r>
    </w:p>
    <w:p w14:paraId="40C91ABE">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7.1预案编制</w:t>
      </w:r>
    </w:p>
    <w:p w14:paraId="05FB29E0">
      <w:pPr>
        <w:spacing w:line="578" w:lineRule="exact"/>
        <w:ind w:firstLine="640" w:firstLineChars="200"/>
        <w:rPr>
          <w:rFonts w:ascii="方正楷体_GBK" w:eastAsia="方正楷体_GBK"/>
          <w:sz w:val="32"/>
          <w:szCs w:val="32"/>
        </w:rPr>
      </w:pPr>
      <w:r>
        <w:rPr>
          <w:rFonts w:eastAsia="方正仿宋_GBK"/>
          <w:sz w:val="32"/>
          <w:szCs w:val="32"/>
        </w:rPr>
        <w:t>（1）市应急管理部门要会同有关部门（单位）针对域内突发事件历史情况和重大风险，制定本级总体应急预案、专项应急预案和部门应急预案编制修订工作规划，确定编制部门，按程序报本级政府批准后实施。各乡镇</w:t>
      </w:r>
      <w:r>
        <w:rPr>
          <w:rFonts w:hint="eastAsia" w:eastAsia="方正仿宋_GBK"/>
          <w:sz w:val="32"/>
          <w:szCs w:val="32"/>
        </w:rPr>
        <w:t>（</w:t>
      </w:r>
      <w:r>
        <w:rPr>
          <w:rFonts w:eastAsia="方正仿宋_GBK"/>
          <w:sz w:val="32"/>
          <w:szCs w:val="32"/>
        </w:rPr>
        <w:t>街道</w:t>
      </w:r>
      <w:r>
        <w:rPr>
          <w:rFonts w:hint="eastAsia" w:eastAsia="方正仿宋_GBK"/>
          <w:sz w:val="32"/>
          <w:szCs w:val="32"/>
        </w:rPr>
        <w:t>）</w:t>
      </w:r>
      <w:r>
        <w:rPr>
          <w:rFonts w:eastAsia="方正仿宋_GBK"/>
          <w:sz w:val="32"/>
          <w:szCs w:val="32"/>
        </w:rPr>
        <w:t>及其部门根据市级应急预案体系和本地区实际情况，制定相应的总体应急预案和专项应急预案。</w:t>
      </w:r>
    </w:p>
    <w:p w14:paraId="35167307">
      <w:pPr>
        <w:spacing w:line="578" w:lineRule="exact"/>
        <w:ind w:firstLine="640" w:firstLineChars="200"/>
        <w:rPr>
          <w:rFonts w:ascii="方正楷体_GBK" w:eastAsia="方正楷体_GBK"/>
          <w:sz w:val="32"/>
          <w:szCs w:val="32"/>
        </w:rPr>
      </w:pPr>
      <w:r>
        <w:rPr>
          <w:rFonts w:eastAsia="方正仿宋_GBK"/>
          <w:sz w:val="32"/>
          <w:szCs w:val="32"/>
        </w:rPr>
        <w:t>（2）编制应急预案应当在风险评估和应急资源调查的基础上进行，以确保应急预案的可操作性。鼓励探索在印发前以情景构建的方式模拟突发事件场景，检验应急预案各项措施有效性。</w:t>
      </w:r>
    </w:p>
    <w:p w14:paraId="2F8537F2">
      <w:pPr>
        <w:spacing w:line="578" w:lineRule="exact"/>
        <w:ind w:firstLine="640" w:firstLineChars="200"/>
        <w:rPr>
          <w:rFonts w:eastAsia="方正仿宋_GBK"/>
          <w:sz w:val="32"/>
          <w:szCs w:val="32"/>
        </w:rPr>
      </w:pPr>
      <w:r>
        <w:rPr>
          <w:rFonts w:eastAsia="方正仿宋_GBK"/>
          <w:sz w:val="32"/>
          <w:szCs w:val="32"/>
        </w:rPr>
        <w:t>（3）</w:t>
      </w:r>
      <w:r>
        <w:rPr>
          <w:rFonts w:hint="eastAsia" w:eastAsia="方正仿宋_GBK"/>
          <w:sz w:val="32"/>
          <w:szCs w:val="32"/>
        </w:rPr>
        <w:t>市</w:t>
      </w:r>
      <w:r>
        <w:rPr>
          <w:rFonts w:eastAsia="方正仿宋_GBK"/>
          <w:sz w:val="32"/>
          <w:szCs w:val="32"/>
        </w:rPr>
        <w:t>政府及其部门应急预案编制过程中应广泛听取有关部门、单位和专家的意见。涉及其他单位职责的，应当书面征求相关单位意见。必要时，向社会公开征求意见。基层组织和单位应急预案在编制过程中应征求相关公民、法人或其他组织的意见。</w:t>
      </w:r>
    </w:p>
    <w:p w14:paraId="3F8E985F">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7.2预案审批与衔接</w:t>
      </w:r>
    </w:p>
    <w:p w14:paraId="6859B094">
      <w:pPr>
        <w:spacing w:line="578" w:lineRule="exact"/>
        <w:ind w:firstLine="640" w:firstLineChars="200"/>
        <w:rPr>
          <w:rFonts w:eastAsia="方正仿宋_GBK"/>
          <w:sz w:val="32"/>
          <w:szCs w:val="32"/>
        </w:rPr>
      </w:pPr>
      <w:r>
        <w:rPr>
          <w:rFonts w:eastAsia="方正仿宋_GBK"/>
          <w:sz w:val="32"/>
          <w:szCs w:val="32"/>
        </w:rPr>
        <w:t>（1）各类应急预案衔接遵循“下级服从上级，专项、部门服从总体，预案之间不得相互矛盾”的原则。应急管理部门综合协调应急预案衔接工作，承担本级专项应急预案研究办理以及本级专项、部门应急预案和下级总体、专项应急预案备案工作</w:t>
      </w:r>
      <w:r>
        <w:rPr>
          <w:rFonts w:hint="eastAsia" w:eastAsia="方正仿宋_GBK"/>
          <w:sz w:val="32"/>
          <w:szCs w:val="32"/>
        </w:rPr>
        <w:t>。</w:t>
      </w:r>
    </w:p>
    <w:p w14:paraId="5D2A80B8">
      <w:pPr>
        <w:spacing w:line="578" w:lineRule="exact"/>
        <w:ind w:firstLine="640" w:firstLineChars="200"/>
        <w:rPr>
          <w:rFonts w:eastAsia="方正仿宋_GBK"/>
          <w:sz w:val="32"/>
          <w:szCs w:val="32"/>
        </w:rPr>
      </w:pPr>
      <w:r>
        <w:rPr>
          <w:rFonts w:eastAsia="方正仿宋_GBK"/>
          <w:sz w:val="32"/>
          <w:szCs w:val="32"/>
        </w:rPr>
        <w:t>（2）总体应急预案由应急管理部门组织起草，按程序报请本级政府批准并公布实施；总体应急预案由本级政府报上一级政府备案，</w:t>
      </w:r>
      <w:r>
        <w:rPr>
          <w:rFonts w:hint="eastAsia" w:eastAsia="方正仿宋_GBK"/>
          <w:sz w:val="32"/>
          <w:szCs w:val="32"/>
        </w:rPr>
        <w:t>并</w:t>
      </w:r>
      <w:r>
        <w:rPr>
          <w:rFonts w:eastAsia="方正仿宋_GBK"/>
          <w:sz w:val="32"/>
          <w:szCs w:val="32"/>
        </w:rPr>
        <w:t>抄送上一级应急管理部门。</w:t>
      </w:r>
    </w:p>
    <w:p w14:paraId="5284B278">
      <w:pPr>
        <w:spacing w:line="578" w:lineRule="exact"/>
        <w:ind w:firstLine="640" w:firstLineChars="200"/>
        <w:rPr>
          <w:rFonts w:eastAsia="方正仿宋_GBK"/>
          <w:sz w:val="32"/>
          <w:szCs w:val="32"/>
        </w:rPr>
      </w:pPr>
      <w:r>
        <w:rPr>
          <w:rFonts w:eastAsia="方正仿宋_GBK"/>
          <w:sz w:val="32"/>
          <w:szCs w:val="32"/>
        </w:rPr>
        <w:t>（3）专项应急预案按职责分工由相应牵头部门负责起草，有两个以上牵头部门的，由相关专项应急指挥机构办公室所在部门负责起草，在起草阶段及时与本级应急管理部门沟通，按程序送请本级应急管理部门协调衔接后，由牵头部门报请本级政府批准，以政府办公室名义印发实施；专项应急预案由牵头部门报上一级相应部门备案，抄送上级和本级应急管理部门。</w:t>
      </w:r>
    </w:p>
    <w:p w14:paraId="26F645D3">
      <w:pPr>
        <w:spacing w:line="578" w:lineRule="exact"/>
        <w:ind w:firstLine="640" w:firstLineChars="200"/>
        <w:rPr>
          <w:rFonts w:eastAsia="方正仿宋_GBK"/>
          <w:sz w:val="32"/>
          <w:szCs w:val="32"/>
        </w:rPr>
      </w:pPr>
      <w:r>
        <w:rPr>
          <w:rFonts w:eastAsia="方正仿宋_GBK"/>
          <w:sz w:val="32"/>
          <w:szCs w:val="32"/>
        </w:rPr>
        <w:t>（4）部门应急预案由有关部门制定，在起草阶段及时与本级应急管理部门沟通，按程序送请本级应急管理部门协调衔接后，经部门主要负责人批准印发实施，报本级政府备案，抄送本级应急管理部门和上一级相应部门。</w:t>
      </w:r>
    </w:p>
    <w:p w14:paraId="7F47CB33">
      <w:pPr>
        <w:spacing w:line="578" w:lineRule="exact"/>
        <w:ind w:firstLine="640" w:firstLineChars="200"/>
        <w:rPr>
          <w:rFonts w:eastAsia="方正仿宋_GBK"/>
          <w:sz w:val="32"/>
          <w:szCs w:val="32"/>
        </w:rPr>
      </w:pPr>
      <w:r>
        <w:rPr>
          <w:rFonts w:eastAsia="方正仿宋_GBK"/>
          <w:sz w:val="32"/>
          <w:szCs w:val="32"/>
        </w:rPr>
        <w:t>（5）基层组织、企事业单位、社会团体等应急预案要经基层组织或本单位主要负责人签发，并按照有关法律、法规要求向有关部门备案。</w:t>
      </w:r>
    </w:p>
    <w:p w14:paraId="0004F49F">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7.3预案演练</w:t>
      </w:r>
    </w:p>
    <w:p w14:paraId="13A5799F">
      <w:pPr>
        <w:spacing w:line="578" w:lineRule="exact"/>
        <w:ind w:firstLine="640" w:firstLineChars="200"/>
        <w:rPr>
          <w:rFonts w:eastAsia="方正仿宋_GBK"/>
          <w:sz w:val="32"/>
          <w:szCs w:val="32"/>
        </w:rPr>
      </w:pPr>
      <w:r>
        <w:rPr>
          <w:rFonts w:eastAsia="方正仿宋_GBK"/>
          <w:sz w:val="32"/>
          <w:szCs w:val="32"/>
        </w:rPr>
        <w:t>（1）应急预案编制单位应当建立应急演练制度，根据实际情况采取实战演练、桌面演练等方式，组织开展人员广泛参与、处置联动性强、形式多样、节约高效的应急演练。市级专项应急预案、部门应急预案每3年至少进行一次应急演练。法律行政法规和国家另有规定的，从其规定。如预案发生重大调整，需及时按照新的预案开展演练。应急管理部门负责预案演练的指导。</w:t>
      </w:r>
    </w:p>
    <w:p w14:paraId="13F2DCDE">
      <w:pPr>
        <w:spacing w:line="578" w:lineRule="exact"/>
        <w:ind w:firstLine="640" w:firstLineChars="200"/>
        <w:rPr>
          <w:rFonts w:eastAsia="方正仿宋_GBK"/>
          <w:sz w:val="32"/>
          <w:szCs w:val="32"/>
        </w:rPr>
      </w:pPr>
      <w:r>
        <w:rPr>
          <w:rFonts w:eastAsia="方正仿宋_GBK"/>
          <w:sz w:val="32"/>
          <w:szCs w:val="32"/>
        </w:rPr>
        <w:t>（2）专项应急预案牵头部门要主动组织演练，相关部门和单位要积极配合参与。</w:t>
      </w:r>
    </w:p>
    <w:p w14:paraId="1FE317BE">
      <w:pPr>
        <w:spacing w:line="578" w:lineRule="exact"/>
        <w:ind w:firstLine="640" w:firstLineChars="200"/>
        <w:rPr>
          <w:rFonts w:eastAsia="方正仿宋_GBK"/>
          <w:sz w:val="32"/>
          <w:szCs w:val="32"/>
        </w:rPr>
      </w:pPr>
      <w:r>
        <w:rPr>
          <w:rFonts w:eastAsia="方正仿宋_GBK"/>
          <w:sz w:val="32"/>
          <w:szCs w:val="32"/>
        </w:rPr>
        <w:t>（3）市政府及其有关部门要结合本地实际，有计划、有重点地组织有关部门对应急预案进行演练，特别是对涉及领域多、需多方配合的应急预案要开展综合性演练。</w:t>
      </w:r>
    </w:p>
    <w:p w14:paraId="699CECFB">
      <w:pPr>
        <w:spacing w:line="578" w:lineRule="exact"/>
        <w:ind w:firstLine="640" w:firstLineChars="200"/>
        <w:rPr>
          <w:rFonts w:eastAsia="方正仿宋_GBK"/>
          <w:sz w:val="32"/>
          <w:szCs w:val="32"/>
        </w:rPr>
      </w:pPr>
      <w:r>
        <w:rPr>
          <w:rFonts w:eastAsia="方正仿宋_GBK"/>
          <w:sz w:val="32"/>
          <w:szCs w:val="32"/>
        </w:rPr>
        <w:t>（4）乡镇（街道）要组织开展必要的应急演练。居民（村民）委员会、企事业单位也要结合实际经常开展应急演练。</w:t>
      </w:r>
    </w:p>
    <w:p w14:paraId="711313BE">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7.4预案评估与修订</w:t>
      </w:r>
    </w:p>
    <w:p w14:paraId="038722CC">
      <w:pPr>
        <w:spacing w:line="578" w:lineRule="exact"/>
        <w:ind w:firstLine="640" w:firstLineChars="200"/>
        <w:rPr>
          <w:rFonts w:eastAsia="方正仿宋_GBK"/>
          <w:sz w:val="32"/>
          <w:szCs w:val="32"/>
        </w:rPr>
      </w:pPr>
      <w:r>
        <w:rPr>
          <w:rFonts w:eastAsia="方正仿宋_GBK"/>
          <w:sz w:val="32"/>
          <w:szCs w:val="32"/>
        </w:rPr>
        <w:t>7.4.1应急预案编制单位应当建立定期评估制度，分析评价预案内容的针对性、实用性和可操作性，实现应急预案的动态优化和科学规范管理。</w:t>
      </w:r>
    </w:p>
    <w:p w14:paraId="2FA3C8A2">
      <w:pPr>
        <w:spacing w:line="578" w:lineRule="exact"/>
        <w:ind w:firstLine="640" w:firstLineChars="200"/>
        <w:rPr>
          <w:rFonts w:eastAsia="方正仿宋_GBK"/>
          <w:sz w:val="32"/>
          <w:szCs w:val="32"/>
        </w:rPr>
      </w:pPr>
      <w:r>
        <w:rPr>
          <w:rFonts w:eastAsia="方正仿宋_GBK"/>
          <w:sz w:val="32"/>
          <w:szCs w:val="32"/>
        </w:rPr>
        <w:t>7.4.2有下列情形之一的，应当及时修订应急预案：</w:t>
      </w:r>
    </w:p>
    <w:p w14:paraId="408EB62D">
      <w:pPr>
        <w:spacing w:line="578" w:lineRule="exact"/>
        <w:ind w:firstLine="640" w:firstLineChars="200"/>
        <w:rPr>
          <w:rFonts w:eastAsia="方正仿宋_GBK"/>
          <w:sz w:val="32"/>
          <w:szCs w:val="32"/>
        </w:rPr>
      </w:pPr>
      <w:r>
        <w:rPr>
          <w:rFonts w:eastAsia="方正仿宋_GBK"/>
          <w:sz w:val="32"/>
          <w:szCs w:val="32"/>
        </w:rPr>
        <w:t>（1）有关法律、法规、规章、标准、上位预案中的有关规定发生变化的；</w:t>
      </w:r>
    </w:p>
    <w:p w14:paraId="0E051A24">
      <w:pPr>
        <w:spacing w:line="578" w:lineRule="exact"/>
        <w:ind w:firstLine="640" w:firstLineChars="200"/>
        <w:rPr>
          <w:rFonts w:eastAsia="方正仿宋_GBK"/>
          <w:sz w:val="32"/>
          <w:szCs w:val="32"/>
        </w:rPr>
      </w:pPr>
      <w:r>
        <w:rPr>
          <w:rFonts w:eastAsia="方正仿宋_GBK"/>
          <w:sz w:val="32"/>
          <w:szCs w:val="32"/>
        </w:rPr>
        <w:t>（2）应急指挥机构及其职责发生重大调整的；</w:t>
      </w:r>
    </w:p>
    <w:p w14:paraId="01F27F30">
      <w:pPr>
        <w:spacing w:line="578" w:lineRule="exact"/>
        <w:ind w:firstLine="640" w:firstLineChars="200"/>
        <w:rPr>
          <w:rFonts w:eastAsia="方正仿宋_GBK"/>
          <w:sz w:val="32"/>
          <w:szCs w:val="32"/>
        </w:rPr>
      </w:pPr>
      <w:r>
        <w:rPr>
          <w:rFonts w:eastAsia="方正仿宋_GBK"/>
          <w:sz w:val="32"/>
          <w:szCs w:val="32"/>
        </w:rPr>
        <w:t>（3）面临的风险发生重大变化的；</w:t>
      </w:r>
    </w:p>
    <w:p w14:paraId="03427017">
      <w:pPr>
        <w:spacing w:line="578" w:lineRule="exact"/>
        <w:ind w:firstLine="640" w:firstLineChars="200"/>
        <w:rPr>
          <w:rFonts w:eastAsia="方正仿宋_GBK"/>
          <w:sz w:val="32"/>
          <w:szCs w:val="32"/>
        </w:rPr>
      </w:pPr>
      <w:r>
        <w:rPr>
          <w:rFonts w:eastAsia="方正仿宋_GBK"/>
          <w:sz w:val="32"/>
          <w:szCs w:val="32"/>
        </w:rPr>
        <w:t>（4）应急队伍、物资、装备等重要应急资源发生重大变化的；</w:t>
      </w:r>
    </w:p>
    <w:p w14:paraId="764EB1BF">
      <w:pPr>
        <w:spacing w:line="578" w:lineRule="exact"/>
        <w:ind w:firstLine="640" w:firstLineChars="200"/>
        <w:rPr>
          <w:rFonts w:eastAsia="方正仿宋_GBK"/>
          <w:sz w:val="32"/>
          <w:szCs w:val="32"/>
        </w:rPr>
      </w:pPr>
      <w:r>
        <w:rPr>
          <w:rFonts w:eastAsia="方正仿宋_GBK"/>
          <w:sz w:val="32"/>
          <w:szCs w:val="32"/>
        </w:rPr>
        <w:t>（5）预案中的其他重要信息发生变化的；</w:t>
      </w:r>
    </w:p>
    <w:p w14:paraId="6D794EA0">
      <w:pPr>
        <w:spacing w:line="578" w:lineRule="exact"/>
        <w:ind w:firstLine="640" w:firstLineChars="200"/>
        <w:rPr>
          <w:rFonts w:eastAsia="方正仿宋_GBK"/>
          <w:sz w:val="32"/>
          <w:szCs w:val="32"/>
        </w:rPr>
      </w:pPr>
      <w:r>
        <w:rPr>
          <w:rFonts w:eastAsia="方正仿宋_GBK"/>
          <w:sz w:val="32"/>
          <w:szCs w:val="32"/>
        </w:rPr>
        <w:t>（6）在突发事件实际应对和应急演练中发现问题需要作出重大调整的；</w:t>
      </w:r>
    </w:p>
    <w:p w14:paraId="02DC9C85">
      <w:pPr>
        <w:spacing w:line="578" w:lineRule="exact"/>
        <w:ind w:firstLine="640" w:firstLineChars="200"/>
        <w:rPr>
          <w:rFonts w:eastAsia="方正仿宋_GBK"/>
          <w:sz w:val="32"/>
          <w:szCs w:val="32"/>
        </w:rPr>
      </w:pPr>
      <w:r>
        <w:rPr>
          <w:rFonts w:eastAsia="方正仿宋_GBK"/>
          <w:sz w:val="32"/>
          <w:szCs w:val="32"/>
        </w:rPr>
        <w:t>（7）应急预案制定单位认为应当修订的其他情况。</w:t>
      </w:r>
    </w:p>
    <w:p w14:paraId="1797A338">
      <w:pPr>
        <w:spacing w:line="578" w:lineRule="exact"/>
        <w:ind w:firstLine="640" w:firstLineChars="200"/>
        <w:rPr>
          <w:rFonts w:eastAsia="方正仿宋_GBK"/>
          <w:sz w:val="32"/>
          <w:szCs w:val="32"/>
        </w:rPr>
      </w:pPr>
      <w:r>
        <w:rPr>
          <w:rFonts w:eastAsia="方正仿宋_GBK"/>
          <w:sz w:val="32"/>
          <w:szCs w:val="32"/>
        </w:rPr>
        <w:t>7.4.3各乡镇</w:t>
      </w:r>
      <w:r>
        <w:rPr>
          <w:rFonts w:hint="eastAsia" w:eastAsia="方正仿宋_GBK"/>
          <w:sz w:val="32"/>
          <w:szCs w:val="32"/>
        </w:rPr>
        <w:t>（</w:t>
      </w:r>
      <w:r>
        <w:rPr>
          <w:rFonts w:eastAsia="方正仿宋_GBK"/>
          <w:sz w:val="32"/>
          <w:szCs w:val="32"/>
        </w:rPr>
        <w:t>街道</w:t>
      </w:r>
      <w:r>
        <w:rPr>
          <w:rFonts w:hint="eastAsia" w:eastAsia="方正仿宋_GBK"/>
          <w:sz w:val="32"/>
          <w:szCs w:val="32"/>
        </w:rPr>
        <w:t>）</w:t>
      </w:r>
      <w:r>
        <w:rPr>
          <w:rFonts w:eastAsia="方正仿宋_GBK"/>
          <w:sz w:val="32"/>
          <w:szCs w:val="32"/>
        </w:rPr>
        <w:t>及其部门、企事业单位、社会团体、公民等，可以向有关预案编制单位提出修订建议。</w:t>
      </w:r>
    </w:p>
    <w:p w14:paraId="5BCD01BD">
      <w:pPr>
        <w:spacing w:line="578" w:lineRule="exact"/>
        <w:ind w:firstLine="640" w:firstLineChars="200"/>
        <w:rPr>
          <w:rFonts w:ascii="方正黑体_GBK" w:eastAsia="方正黑体_GBK"/>
          <w:sz w:val="32"/>
          <w:szCs w:val="32"/>
        </w:rPr>
      </w:pPr>
      <w:r>
        <w:rPr>
          <w:rFonts w:hint="eastAsia" w:ascii="方正黑体_GBK" w:eastAsia="方正黑体_GBK"/>
          <w:sz w:val="32"/>
          <w:szCs w:val="32"/>
        </w:rPr>
        <w:t>8附则</w:t>
      </w:r>
    </w:p>
    <w:p w14:paraId="78B75DC1">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8.1宣传和培训</w:t>
      </w:r>
    </w:p>
    <w:p w14:paraId="49C1BE1E">
      <w:pPr>
        <w:spacing w:line="578" w:lineRule="exact"/>
        <w:ind w:firstLine="640" w:firstLineChars="200"/>
        <w:rPr>
          <w:rFonts w:ascii="方正楷体_GBK" w:eastAsia="方正楷体_GBK"/>
          <w:sz w:val="32"/>
          <w:szCs w:val="32"/>
        </w:rPr>
      </w:pPr>
      <w:r>
        <w:rPr>
          <w:rFonts w:eastAsia="方正仿宋_GBK"/>
          <w:sz w:val="32"/>
          <w:szCs w:val="32"/>
        </w:rPr>
        <w:t>（1）加强公益宣传，普及安全知识，培育安全文化。应急管理、新闻宣传、文化和旅游、广播电视、工业和信息化等部门要通过图书、报刊、音像制品和电子出版物、广播、电视、网络、手机等，广泛宣传应急法律法规和预防、避险、自救、互救、减灾等常识，增强公众的忧患意识、社会责任意识、公共安全和风险防范意识，提高全社会的避险能力和自救互救能力。</w:t>
      </w:r>
    </w:p>
    <w:p w14:paraId="6820D730">
      <w:pPr>
        <w:spacing w:line="578" w:lineRule="exact"/>
        <w:ind w:firstLine="640" w:firstLineChars="200"/>
        <w:rPr>
          <w:rFonts w:ascii="方正楷体_GBK" w:eastAsia="方正楷体_GBK"/>
          <w:sz w:val="32"/>
          <w:szCs w:val="32"/>
        </w:rPr>
      </w:pPr>
      <w:r>
        <w:rPr>
          <w:rFonts w:eastAsia="方正仿宋_GBK"/>
          <w:sz w:val="32"/>
          <w:szCs w:val="32"/>
        </w:rPr>
        <w:t>（2）完善公民安全教育体系。各类学校、幼儿园应当在教育主管部门指导下，把应急知识教育纳入教学内容，对学生进行应急知识教育，培养学生的安全意识和自救互救能力。教育主管部门应当对学校开展应急知识教育进行指导和监督。</w:t>
      </w:r>
    </w:p>
    <w:p w14:paraId="17B4349A">
      <w:pPr>
        <w:spacing w:line="578" w:lineRule="exact"/>
        <w:ind w:firstLine="640" w:firstLineChars="200"/>
        <w:rPr>
          <w:rFonts w:ascii="方正楷体_GBK" w:eastAsia="方正楷体_GBK"/>
          <w:sz w:val="32"/>
          <w:szCs w:val="32"/>
        </w:rPr>
      </w:pPr>
      <w:r>
        <w:rPr>
          <w:rFonts w:eastAsia="方正仿宋_GBK"/>
          <w:sz w:val="32"/>
          <w:szCs w:val="32"/>
        </w:rPr>
        <w:t>（3）各乡镇</w:t>
      </w:r>
      <w:r>
        <w:rPr>
          <w:rFonts w:hint="eastAsia" w:eastAsia="方正仿宋_GBK"/>
          <w:sz w:val="32"/>
          <w:szCs w:val="32"/>
        </w:rPr>
        <w:t>（</w:t>
      </w:r>
      <w:r>
        <w:rPr>
          <w:rFonts w:eastAsia="方正仿宋_GBK"/>
          <w:sz w:val="32"/>
          <w:szCs w:val="32"/>
        </w:rPr>
        <w:t>街道</w:t>
      </w:r>
      <w:r>
        <w:rPr>
          <w:rFonts w:hint="eastAsia" w:eastAsia="方正仿宋_GBK"/>
          <w:sz w:val="32"/>
          <w:szCs w:val="32"/>
        </w:rPr>
        <w:t>）</w:t>
      </w:r>
      <w:r>
        <w:rPr>
          <w:rFonts w:eastAsia="方正仿宋_GBK"/>
          <w:sz w:val="32"/>
          <w:szCs w:val="32"/>
        </w:rPr>
        <w:t>及有关部门要建立健全突发事件应急管理培训制度，纳入干部教育培训体系，针对本地特点定期开展突发事件应急预案的宣传和教育培训工作。新闻媒体应当无偿开展突发事件预防与应急、自救与互救知识的公益宣传。企事业单位应当定期开展应急管理法律法规、安全管理制度、安全操作规程以及应急知识等方面的教育与培训。</w:t>
      </w:r>
    </w:p>
    <w:p w14:paraId="464E7607">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8.2责任与奖惩</w:t>
      </w:r>
    </w:p>
    <w:p w14:paraId="7845CA38">
      <w:pPr>
        <w:spacing w:line="578" w:lineRule="exact"/>
        <w:ind w:firstLine="640" w:firstLineChars="200"/>
        <w:rPr>
          <w:rFonts w:ascii="方正楷体_GBK" w:eastAsia="方正楷体_GBK"/>
          <w:sz w:val="32"/>
          <w:szCs w:val="32"/>
        </w:rPr>
      </w:pPr>
      <w:r>
        <w:rPr>
          <w:rFonts w:eastAsia="方正仿宋_GBK"/>
          <w:sz w:val="32"/>
          <w:szCs w:val="32"/>
        </w:rPr>
        <w:t>（1）根据有关规定，建立健全应急管理工作领导负责制和责任追究制，将突发事件应对工作纳入各级政府及其有关部门绩效考核。</w:t>
      </w:r>
    </w:p>
    <w:p w14:paraId="2F337F32">
      <w:pPr>
        <w:spacing w:line="578" w:lineRule="exact"/>
        <w:ind w:firstLine="640" w:firstLineChars="200"/>
        <w:rPr>
          <w:rFonts w:ascii="方正楷体_GBK" w:eastAsia="方正楷体_GBK"/>
          <w:sz w:val="32"/>
          <w:szCs w:val="32"/>
        </w:rPr>
      </w:pPr>
      <w:r>
        <w:rPr>
          <w:rFonts w:eastAsia="方正仿宋_GBK"/>
          <w:sz w:val="32"/>
          <w:szCs w:val="32"/>
        </w:rPr>
        <w:t>（2）公民按照政府要求，参加应急救援工作或者协助维护社会秩序期间，其在本单位的工资待遇和福利不变，可视情给予补助；对突发事件应急管理工作中作出突出贡献的先进集体和个人，按照国家有关规定给予表彰或奖励。</w:t>
      </w:r>
    </w:p>
    <w:p w14:paraId="2E797255">
      <w:pPr>
        <w:spacing w:line="578" w:lineRule="exact"/>
        <w:ind w:firstLine="640" w:firstLineChars="200"/>
        <w:rPr>
          <w:rFonts w:ascii="方正楷体_GBK" w:eastAsia="方正楷体_GBK"/>
          <w:sz w:val="32"/>
          <w:szCs w:val="32"/>
        </w:rPr>
      </w:pPr>
      <w:r>
        <w:rPr>
          <w:rFonts w:eastAsia="方正仿宋_GBK"/>
          <w:sz w:val="32"/>
          <w:szCs w:val="32"/>
        </w:rPr>
        <w:t>（3）对迟报、谎报、瞒报和漏报突发事件重要情况，应急处置不力，或者应急管理工作中有其他失、渎职行为的，依照有关规定给予处分；构成犯罪的，依法追究刑事责任。</w:t>
      </w:r>
    </w:p>
    <w:p w14:paraId="6030898D">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8.3实施与监管</w:t>
      </w:r>
    </w:p>
    <w:p w14:paraId="136EDF3B">
      <w:pPr>
        <w:spacing w:line="578" w:lineRule="exact"/>
        <w:ind w:firstLine="640" w:firstLineChars="200"/>
        <w:rPr>
          <w:rFonts w:ascii="方正楷体_GBK" w:eastAsia="方正楷体_GBK"/>
          <w:sz w:val="32"/>
          <w:szCs w:val="32"/>
        </w:rPr>
      </w:pPr>
      <w:r>
        <w:rPr>
          <w:rFonts w:eastAsia="方正仿宋_GBK"/>
          <w:sz w:val="32"/>
          <w:szCs w:val="32"/>
        </w:rPr>
        <w:t>本预案涉及乡镇政府、街道办事处及其有关部门（单位）、群众自治组织、企事业单位、社会团体等，要按照本预案的规定履行职责，制定、完善相应的应急预案及其支撑文件。市应急管理局要加强本预案实施的跟踪分析、督促检查、综合协调，并根据需要及时组织评估，向市政府提出修订建议。</w:t>
      </w:r>
    </w:p>
    <w:p w14:paraId="7CEC7D4E">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8.4预案解释部门</w:t>
      </w:r>
    </w:p>
    <w:p w14:paraId="7AFD6E44">
      <w:pPr>
        <w:spacing w:line="578" w:lineRule="exact"/>
        <w:ind w:firstLine="640" w:firstLineChars="200"/>
        <w:rPr>
          <w:rFonts w:ascii="方正楷体_GBK" w:eastAsia="方正楷体_GBK"/>
          <w:sz w:val="32"/>
          <w:szCs w:val="32"/>
        </w:rPr>
      </w:pPr>
      <w:r>
        <w:rPr>
          <w:rFonts w:eastAsia="方正仿宋_GBK"/>
          <w:sz w:val="32"/>
          <w:szCs w:val="32"/>
        </w:rPr>
        <w:t>本预案由市应急管理局负责解释。</w:t>
      </w:r>
    </w:p>
    <w:p w14:paraId="576E392A">
      <w:pPr>
        <w:spacing w:line="578" w:lineRule="exact"/>
        <w:ind w:firstLine="640" w:firstLineChars="200"/>
        <w:rPr>
          <w:rFonts w:ascii="方正楷体_GBK" w:eastAsia="方正楷体_GBK"/>
          <w:sz w:val="32"/>
          <w:szCs w:val="32"/>
        </w:rPr>
      </w:pPr>
      <w:r>
        <w:rPr>
          <w:rFonts w:hint="eastAsia" w:ascii="方正楷体_GBK" w:eastAsia="方正楷体_GBK"/>
          <w:sz w:val="32"/>
          <w:szCs w:val="32"/>
        </w:rPr>
        <w:t>8.5预案实施时间</w:t>
      </w:r>
    </w:p>
    <w:p w14:paraId="03FA86D2">
      <w:pPr>
        <w:spacing w:line="578" w:lineRule="exact"/>
        <w:ind w:firstLine="640" w:firstLineChars="200"/>
        <w:rPr>
          <w:rFonts w:ascii="方正楷体_GBK" w:eastAsia="方正楷体_GBK"/>
          <w:sz w:val="32"/>
          <w:szCs w:val="32"/>
        </w:rPr>
      </w:pPr>
      <w:r>
        <w:rPr>
          <w:rFonts w:eastAsia="方正仿宋_GBK"/>
          <w:sz w:val="32"/>
          <w:szCs w:val="32"/>
        </w:rPr>
        <w:t>本预案自印发之日起实施。2005年《洮南市人民政府关于印发洮南市人民政府突发公共事件总体应急预案的通知》（洮政发〔20</w:t>
      </w:r>
      <w:r>
        <w:rPr>
          <w:rFonts w:hint="eastAsia" w:eastAsia="方正仿宋_GBK"/>
          <w:sz w:val="32"/>
          <w:szCs w:val="32"/>
        </w:rPr>
        <w:t>05</w:t>
      </w:r>
      <w:r>
        <w:rPr>
          <w:rFonts w:eastAsia="方正仿宋_GBK"/>
          <w:sz w:val="32"/>
          <w:szCs w:val="32"/>
        </w:rPr>
        <w:t>〕16号）同时废止。</w:t>
      </w:r>
    </w:p>
    <w:p w14:paraId="164F0660">
      <w:pPr>
        <w:spacing w:line="578" w:lineRule="exact"/>
        <w:rPr>
          <w:rFonts w:eastAsia="方正仿宋_GBK"/>
          <w:sz w:val="32"/>
          <w:szCs w:val="32"/>
        </w:rPr>
      </w:pPr>
    </w:p>
    <w:p w14:paraId="241651D3">
      <w:pPr>
        <w:spacing w:line="578" w:lineRule="exact"/>
        <w:ind w:firstLine="640" w:firstLineChars="200"/>
        <w:rPr>
          <w:rFonts w:eastAsia="方正仿宋_GBK"/>
          <w:sz w:val="32"/>
          <w:szCs w:val="32"/>
        </w:rPr>
      </w:pPr>
      <w:r>
        <w:rPr>
          <w:rFonts w:eastAsia="方正仿宋_GBK"/>
          <w:sz w:val="32"/>
          <w:szCs w:val="32"/>
        </w:rPr>
        <w:t>附件</w:t>
      </w:r>
      <w:r>
        <w:rPr>
          <w:rFonts w:hint="eastAsia" w:eastAsia="方正仿宋_GBK"/>
          <w:sz w:val="32"/>
          <w:szCs w:val="32"/>
        </w:rPr>
        <w:t>：</w:t>
      </w:r>
      <w:r>
        <w:rPr>
          <w:rFonts w:eastAsia="方正仿宋_GBK"/>
          <w:sz w:val="32"/>
          <w:szCs w:val="32"/>
        </w:rPr>
        <w:t>洮南市突发事件专项指挥机构和主要牵头部门</w:t>
      </w:r>
    </w:p>
    <w:p w14:paraId="2AD2EBE3">
      <w:pPr>
        <w:spacing w:line="578" w:lineRule="exact"/>
        <w:rPr>
          <w:rFonts w:eastAsia="方正仿宋_GBK"/>
          <w:sz w:val="32"/>
          <w:szCs w:val="32"/>
        </w:rPr>
      </w:pPr>
    </w:p>
    <w:p w14:paraId="7FCAEE6C">
      <w:pPr>
        <w:spacing w:line="578" w:lineRule="exact"/>
        <w:rPr>
          <w:rFonts w:eastAsia="仿宋_GB2312"/>
          <w:sz w:val="32"/>
          <w:szCs w:val="32"/>
        </w:rPr>
      </w:pPr>
    </w:p>
    <w:p w14:paraId="5CCBD548">
      <w:pPr>
        <w:spacing w:line="578" w:lineRule="exact"/>
        <w:rPr>
          <w:rFonts w:eastAsia="仿宋_GB2312"/>
          <w:sz w:val="32"/>
          <w:szCs w:val="32"/>
        </w:rPr>
      </w:pPr>
    </w:p>
    <w:p w14:paraId="28C8F270">
      <w:pPr>
        <w:spacing w:line="578" w:lineRule="exact"/>
        <w:rPr>
          <w:rFonts w:eastAsia="仿宋_GB2312"/>
          <w:sz w:val="32"/>
          <w:szCs w:val="32"/>
        </w:rPr>
      </w:pPr>
    </w:p>
    <w:p w14:paraId="7A783FD3">
      <w:pPr>
        <w:spacing w:line="578" w:lineRule="exact"/>
        <w:rPr>
          <w:rFonts w:eastAsia="仿宋_GB2312"/>
          <w:sz w:val="32"/>
          <w:szCs w:val="32"/>
        </w:rPr>
      </w:pPr>
    </w:p>
    <w:p w14:paraId="14E35E9B">
      <w:pPr>
        <w:spacing w:line="578" w:lineRule="exact"/>
        <w:rPr>
          <w:rFonts w:eastAsia="仿宋_GB2312"/>
          <w:sz w:val="32"/>
          <w:szCs w:val="32"/>
        </w:rPr>
      </w:pPr>
    </w:p>
    <w:p w14:paraId="5DD3B198">
      <w:pPr>
        <w:spacing w:line="578" w:lineRule="exact"/>
        <w:rPr>
          <w:rFonts w:eastAsia="仿宋_GB2312"/>
          <w:sz w:val="32"/>
          <w:szCs w:val="32"/>
        </w:rPr>
      </w:pPr>
    </w:p>
    <w:p w14:paraId="5B5D8860">
      <w:pPr>
        <w:spacing w:line="578" w:lineRule="exact"/>
        <w:rPr>
          <w:rFonts w:eastAsia="仿宋_GB2312"/>
          <w:sz w:val="32"/>
          <w:szCs w:val="32"/>
        </w:rPr>
      </w:pPr>
    </w:p>
    <w:p w14:paraId="012324BB">
      <w:pPr>
        <w:spacing w:line="578" w:lineRule="exact"/>
        <w:rPr>
          <w:rFonts w:eastAsia="仿宋_GB2312"/>
          <w:sz w:val="32"/>
          <w:szCs w:val="32"/>
        </w:rPr>
      </w:pPr>
    </w:p>
    <w:p w14:paraId="6EE61EC8">
      <w:pPr>
        <w:spacing w:line="578" w:lineRule="exact"/>
        <w:rPr>
          <w:rFonts w:eastAsia="仿宋_GB2312"/>
          <w:sz w:val="32"/>
          <w:szCs w:val="32"/>
        </w:rPr>
      </w:pPr>
    </w:p>
    <w:p w14:paraId="79086D87">
      <w:pPr>
        <w:spacing w:line="578" w:lineRule="exact"/>
        <w:rPr>
          <w:rFonts w:eastAsia="仿宋_GB2312"/>
          <w:sz w:val="32"/>
          <w:szCs w:val="32"/>
        </w:rPr>
      </w:pPr>
    </w:p>
    <w:p w14:paraId="535EC865">
      <w:pPr>
        <w:spacing w:line="578" w:lineRule="exact"/>
        <w:rPr>
          <w:rFonts w:eastAsia="仿宋_GB2312"/>
          <w:sz w:val="32"/>
          <w:szCs w:val="32"/>
        </w:rPr>
      </w:pPr>
    </w:p>
    <w:p w14:paraId="57F7B6E0">
      <w:pPr>
        <w:spacing w:line="578" w:lineRule="exact"/>
        <w:rPr>
          <w:rFonts w:eastAsia="仿宋_GB2312"/>
          <w:sz w:val="32"/>
          <w:szCs w:val="32"/>
        </w:rPr>
      </w:pPr>
    </w:p>
    <w:p w14:paraId="595181DA">
      <w:pPr>
        <w:spacing w:line="560" w:lineRule="exact"/>
        <w:jc w:val="left"/>
        <w:rPr>
          <w:rFonts w:eastAsia="仿宋_GB2312"/>
          <w:sz w:val="32"/>
          <w:szCs w:val="32"/>
        </w:rPr>
      </w:pPr>
    </w:p>
    <w:p w14:paraId="11859175">
      <w:pPr>
        <w:spacing w:line="540" w:lineRule="exact"/>
        <w:ind w:left="1121" w:leftChars="134" w:hanging="840" w:hangingChars="400"/>
        <w:rPr>
          <w:rFonts w:eastAsia="方正仿宋_GBK"/>
          <w:sz w:val="28"/>
          <w:szCs w:val="28"/>
        </w:rPr>
      </w:pPr>
      <w: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53975</wp:posOffset>
                </wp:positionV>
                <wp:extent cx="5486400" cy="0"/>
                <wp:effectExtent l="0" t="4445" r="0" b="5080"/>
                <wp:wrapNone/>
                <wp:docPr id="1" name="直线 4"/>
                <wp:cNvGraphicFramePr/>
                <a:graphic xmlns:a="http://schemas.openxmlformats.org/drawingml/2006/main">
                  <a:graphicData uri="http://schemas.microsoft.com/office/word/2010/wordprocessingShape">
                    <wps:wsp>
                      <wps:cNvSp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3.3pt;margin-top:4.25pt;height:0pt;width:432pt;z-index:251659264;mso-width-relative:page;mso-height-relative:page;" filled="f" stroked="t" coordsize="21600,21600" o:gfxdata="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2TSstEAAAAFAQAA&#10;DwAAAAAAAAABACAAAAAiAAAAZHJzL2Rvd25yZXYueG1sUEsBAhQAFAAAAAgAh07iQK/RY5vnAQAA&#10;2wMAAA4AAAAAAAAAAQAgAAAAIAEAAGRycy9lMm9Eb2MueG1sUEsFBgAAAAAGAAYAWQEAAHkFAAAA&#10;AA==&#10;">
                <v:fill on="f" focussize="0,0"/>
                <v:stroke color="#000000" joinstyle="round"/>
                <v:imagedata o:title=""/>
                <o:lock v:ext="edit" aspectratio="f"/>
              </v:line>
            </w:pict>
          </mc:Fallback>
        </mc:AlternateContent>
      </w:r>
      <w:r>
        <w:rPr>
          <w:rFonts w:eastAsia="方正仿宋_GBK"/>
          <w:sz w:val="28"/>
          <w:szCs w:val="28"/>
        </w:rPr>
        <w:t>抄送：</w:t>
      </w:r>
      <w:r>
        <w:rPr>
          <w:rFonts w:eastAsia="方正仿宋_GBK"/>
          <w:spacing w:val="-8"/>
          <w:sz w:val="28"/>
          <w:szCs w:val="28"/>
        </w:rPr>
        <w:t>市委各部门，市纪委办公室，各人民团体，各民主党派，中省直驻洮各单位。</w:t>
      </w:r>
      <w:r>
        <w:rPr>
          <w:rFonts w:eastAsia="方正仿宋_GBK"/>
          <w:sz w:val="28"/>
          <w:szCs w:val="28"/>
        </w:rPr>
        <w:t xml:space="preserve"> </w:t>
      </w:r>
    </w:p>
    <w:p w14:paraId="2682C030">
      <w:pPr>
        <w:spacing w:line="540" w:lineRule="exact"/>
        <w:ind w:left="1121" w:leftChars="134" w:hanging="840" w:hangingChars="300"/>
        <w:rPr>
          <w:rFonts w:eastAsia="方正仿宋_GBK"/>
          <w:sz w:val="28"/>
          <w:szCs w:val="28"/>
        </w:rPr>
      </w:pPr>
      <w:r>
        <w:rPr>
          <w:rFonts w:eastAsia="方正仿宋_GBK"/>
          <w:sz w:val="28"/>
          <w:szCs w:val="28"/>
        </w:rPr>
        <w:t xml:space="preserve">      市人大办公室，市政协办公室，市监委，市法院，市检察院。                                     </w:t>
      </w:r>
    </w:p>
    <w:p w14:paraId="0B7C42B1">
      <w:pPr>
        <w:spacing w:line="560" w:lineRule="exact"/>
        <w:ind w:firstLine="210" w:firstLineChars="100"/>
        <w:jc w:val="left"/>
        <w:rPr>
          <w:rFonts w:eastAsia="方正仿宋_GBK"/>
          <w:sz w:val="28"/>
          <w:szCs w:val="28"/>
        </w:rPr>
      </w:pPr>
      <w: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380365</wp:posOffset>
                </wp:positionV>
                <wp:extent cx="5486400" cy="0"/>
                <wp:effectExtent l="0" t="4445" r="0" b="5080"/>
                <wp:wrapNone/>
                <wp:docPr id="2" name="直线 5"/>
                <wp:cNvGraphicFramePr/>
                <a:graphic xmlns:a="http://schemas.openxmlformats.org/drawingml/2006/main">
                  <a:graphicData uri="http://schemas.microsoft.com/office/word/2010/wordprocessingShape">
                    <wps:wsp>
                      <wps:cNvSp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15pt;margin-top:29.95pt;height:0pt;width:432pt;z-index:251660288;mso-width-relative:page;mso-height-relative:page;" filled="f" stroked="t" coordsize="21600,21600" o:gfxdata="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KrgltQAAAAH&#10;AQAADwAAAAAAAAABACAAAAAiAAAAZHJzL2Rvd25yZXYueG1sUEsBAhQAFAAAAAgAh07iQEg4igjn&#10;AQAA2wMAAA4AAAAAAAAAAQAgAAAAIwEAAGRycy9lMm9Eb2MueG1sUEsFBgAAAAAGAAYAWQEAAHwF&#10;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17145</wp:posOffset>
                </wp:positionV>
                <wp:extent cx="5486400" cy="0"/>
                <wp:effectExtent l="0" t="4445" r="0" b="5080"/>
                <wp:wrapNone/>
                <wp:docPr id="3" name="直线 6"/>
                <wp:cNvGraphicFramePr/>
                <a:graphic xmlns:a="http://schemas.openxmlformats.org/drawingml/2006/main">
                  <a:graphicData uri="http://schemas.microsoft.com/office/word/2010/wordprocessingShape">
                    <wps:wsp>
                      <wps:cNvSp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pt;margin-top:1.35pt;height:0pt;width:432pt;z-index:251660288;mso-width-relative:page;mso-height-relative:page;" filled="f" stroked="t" coordsize="21600,21600" o:gfxdata="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vJRmr0gAAAAUB&#10;AAAPAAAAAAAAAAEAIAAAACIAAABkcnMvZG93bnJldi54bWxQSwECFAAUAAAACACHTuJAvWOOVegB&#10;AADbAwAADgAAAAAAAAABACAAAAAhAQAAZHJzL2Uyb0RvYy54bWxQSwUGAAAAAAYABgBZAQAAewUA&#10;AAAA&#10;">
                <v:fill on="f" focussize="0,0"/>
                <v:stroke color="#000000" joinstyle="round"/>
                <v:imagedata o:title=""/>
                <o:lock v:ext="edit" aspectratio="f"/>
              </v:line>
            </w:pict>
          </mc:Fallback>
        </mc:AlternateContent>
      </w:r>
      <w:r>
        <w:rPr>
          <w:rFonts w:eastAsia="方正仿宋_GBK"/>
          <w:sz w:val="28"/>
          <w:szCs w:val="28"/>
        </w:rPr>
        <w:t>洮南市人民政府办公室                    2023年</w:t>
      </w:r>
      <w:r>
        <w:rPr>
          <w:rFonts w:hint="eastAsia" w:eastAsia="方正仿宋_GBK"/>
          <w:sz w:val="28"/>
          <w:szCs w:val="28"/>
        </w:rPr>
        <w:t>8</w:t>
      </w:r>
      <w:r>
        <w:rPr>
          <w:rFonts w:eastAsia="方正仿宋_GBK"/>
          <w:sz w:val="28"/>
          <w:szCs w:val="28"/>
        </w:rPr>
        <w:t>月</w:t>
      </w:r>
      <w:r>
        <w:rPr>
          <w:rFonts w:hint="eastAsia" w:eastAsia="方正仿宋_GBK"/>
          <w:sz w:val="28"/>
          <w:szCs w:val="28"/>
        </w:rPr>
        <w:t>25</w:t>
      </w:r>
      <w:r>
        <w:rPr>
          <w:rFonts w:eastAsia="方正仿宋_GBK"/>
          <w:sz w:val="28"/>
          <w:szCs w:val="28"/>
        </w:rPr>
        <w:t>日印发</w:t>
      </w:r>
    </w:p>
    <w:p w14:paraId="158F236F">
      <w:pPr>
        <w:spacing w:line="560" w:lineRule="exact"/>
        <w:jc w:val="left"/>
        <w:rPr>
          <w:rFonts w:ascii="方正黑体_GBK" w:hAnsi="黑体" w:eastAsia="方正黑体_GBK" w:cs="黑体"/>
          <w:sz w:val="32"/>
          <w:szCs w:val="32"/>
        </w:rPr>
      </w:pPr>
      <w:r>
        <w:rPr>
          <w:rFonts w:hint="eastAsia" w:ascii="方正黑体_GBK" w:hAnsi="黑体" w:eastAsia="方正黑体_GBK" w:cs="黑体"/>
          <w:sz w:val="32"/>
          <w:szCs w:val="32"/>
        </w:rPr>
        <w:t>附件</w:t>
      </w:r>
    </w:p>
    <w:p w14:paraId="1C2873C0">
      <w:pPr>
        <w:spacing w:line="560" w:lineRule="exact"/>
        <w:jc w:val="left"/>
        <w:rPr>
          <w:rFonts w:ascii="方正黑体_GBK" w:eastAsia="方正黑体_GBK"/>
          <w:sz w:val="32"/>
          <w:szCs w:val="32"/>
        </w:rPr>
      </w:pPr>
    </w:p>
    <w:p w14:paraId="469753A7">
      <w:pPr>
        <w:jc w:val="center"/>
        <w:rPr>
          <w:rFonts w:ascii="方正小标宋_GBK" w:hAnsi="黑体" w:eastAsia="方正小标宋_GBK" w:cs="黑体"/>
          <w:bCs/>
          <w:sz w:val="44"/>
          <w:szCs w:val="44"/>
        </w:rPr>
      </w:pPr>
      <w:r>
        <w:rPr>
          <w:rFonts w:hint="eastAsia" w:ascii="方正小标宋_GBK" w:hAnsi="黑体" w:eastAsia="方正小标宋_GBK" w:cs="黑体"/>
          <w:bCs/>
          <w:sz w:val="44"/>
          <w:szCs w:val="44"/>
        </w:rPr>
        <w:t>洮南市突发事件专项指挥机构和主要牵头部门</w:t>
      </w:r>
    </w:p>
    <w:p w14:paraId="676AC380">
      <w:pPr>
        <w:rPr>
          <w:rFonts w:ascii="黑体" w:hAnsi="黑体" w:eastAsia="黑体" w:cs="黑体"/>
          <w:szCs w:val="28"/>
        </w:rPr>
      </w:pPr>
    </w:p>
    <w:p w14:paraId="14A77C16">
      <w:pPr>
        <w:pStyle w:val="2"/>
        <w:spacing w:beforeAutospacing="0" w:afterAutospacing="0" w:line="560" w:lineRule="exact"/>
        <w:ind w:firstLine="560" w:firstLineChars="200"/>
        <w:rPr>
          <w:rFonts w:ascii="Times New Roman" w:hAnsi="Times New Roman" w:eastAsia="方正仿宋_GBK"/>
          <w:b w:val="0"/>
          <w:sz w:val="28"/>
          <w:szCs w:val="28"/>
        </w:rPr>
      </w:pPr>
      <w:r>
        <w:rPr>
          <w:rFonts w:ascii="Times New Roman" w:hAnsi="Times New Roman" w:eastAsia="方正仿宋_GBK"/>
          <w:b w:val="0"/>
          <w:sz w:val="28"/>
          <w:szCs w:val="28"/>
        </w:rPr>
        <w:t>1</w:t>
      </w:r>
      <w:r>
        <w:rPr>
          <w:rFonts w:hint="eastAsia" w:ascii="Times New Roman" w:hAnsi="Times New Roman" w:eastAsia="方正仿宋_GBK"/>
          <w:b w:val="0"/>
          <w:sz w:val="28"/>
          <w:szCs w:val="28"/>
        </w:rPr>
        <w:t>.</w:t>
      </w:r>
      <w:r>
        <w:rPr>
          <w:rFonts w:ascii="Times New Roman" w:hAnsi="Times New Roman" w:eastAsia="方正仿宋_GBK"/>
          <w:b w:val="0"/>
          <w:sz w:val="28"/>
          <w:szCs w:val="28"/>
        </w:rPr>
        <w:t>自然灾害类</w:t>
      </w:r>
    </w:p>
    <w:tbl>
      <w:tblPr>
        <w:tblStyle w:val="9"/>
        <w:tblW w:w="89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984"/>
        <w:gridCol w:w="2667"/>
        <w:gridCol w:w="3458"/>
      </w:tblGrid>
      <w:tr w14:paraId="192C5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81" w:type="dxa"/>
            <w:tcBorders>
              <w:tl2br w:val="nil"/>
              <w:tr2bl w:val="nil"/>
            </w:tcBorders>
            <w:shd w:val="clear" w:color="auto" w:fill="auto"/>
            <w:vAlign w:val="center"/>
          </w:tcPr>
          <w:p w14:paraId="55778858">
            <w:pPr>
              <w:autoSpaceDE w:val="0"/>
              <w:adjustRightInd w:val="0"/>
              <w:spacing w:beforeAutospacing="1" w:afterAutospacing="1" w:line="400" w:lineRule="exact"/>
              <w:jc w:val="center"/>
              <w:textAlignment w:val="baseline"/>
              <w:outlineLvl w:val="1"/>
              <w:rPr>
                <w:rFonts w:ascii="方正黑体_GBK" w:eastAsia="方正黑体_GBK"/>
                <w:bCs/>
                <w:sz w:val="22"/>
              </w:rPr>
            </w:pPr>
            <w:bookmarkStart w:id="0" w:name="_Toc7449"/>
            <w:r>
              <w:rPr>
                <w:rFonts w:hint="eastAsia" w:ascii="方正黑体_GBK" w:eastAsia="方正黑体_GBK"/>
                <w:bCs/>
                <w:color w:val="000000"/>
                <w:sz w:val="22"/>
              </w:rPr>
              <w:t>序号</w:t>
            </w:r>
            <w:bookmarkEnd w:id="0"/>
          </w:p>
        </w:tc>
        <w:tc>
          <w:tcPr>
            <w:tcW w:w="1984" w:type="dxa"/>
            <w:tcBorders>
              <w:tl2br w:val="nil"/>
              <w:tr2bl w:val="nil"/>
            </w:tcBorders>
            <w:shd w:val="clear" w:color="auto" w:fill="auto"/>
            <w:vAlign w:val="center"/>
          </w:tcPr>
          <w:p w14:paraId="69293C21">
            <w:pPr>
              <w:autoSpaceDE w:val="0"/>
              <w:adjustRightInd w:val="0"/>
              <w:spacing w:beforeAutospacing="1" w:afterAutospacing="1" w:line="400" w:lineRule="exact"/>
              <w:jc w:val="center"/>
              <w:textAlignment w:val="baseline"/>
              <w:outlineLvl w:val="1"/>
              <w:rPr>
                <w:rFonts w:ascii="方正黑体_GBK" w:eastAsia="方正黑体_GBK"/>
                <w:bCs/>
                <w:sz w:val="22"/>
              </w:rPr>
            </w:pPr>
            <w:bookmarkStart w:id="1" w:name="_Toc23769"/>
            <w:r>
              <w:rPr>
                <w:rFonts w:hint="eastAsia" w:ascii="方正黑体_GBK" w:eastAsia="方正黑体_GBK"/>
                <w:bCs/>
                <w:color w:val="000000"/>
                <w:sz w:val="22"/>
              </w:rPr>
              <w:t>事件类别</w:t>
            </w:r>
            <w:bookmarkEnd w:id="1"/>
          </w:p>
        </w:tc>
        <w:tc>
          <w:tcPr>
            <w:tcW w:w="2667" w:type="dxa"/>
            <w:tcBorders>
              <w:tl2br w:val="nil"/>
              <w:tr2bl w:val="nil"/>
            </w:tcBorders>
            <w:shd w:val="clear" w:color="auto" w:fill="auto"/>
            <w:vAlign w:val="center"/>
          </w:tcPr>
          <w:p w14:paraId="5527BFE4">
            <w:pPr>
              <w:autoSpaceDE w:val="0"/>
              <w:adjustRightInd w:val="0"/>
              <w:spacing w:beforeAutospacing="1" w:afterAutospacing="1" w:line="400" w:lineRule="exact"/>
              <w:jc w:val="center"/>
              <w:textAlignment w:val="baseline"/>
              <w:outlineLvl w:val="1"/>
              <w:rPr>
                <w:rFonts w:ascii="方正黑体_GBK" w:eastAsia="方正黑体_GBK"/>
                <w:bCs/>
                <w:sz w:val="22"/>
              </w:rPr>
            </w:pPr>
            <w:bookmarkStart w:id="2" w:name="_Toc8113"/>
            <w:r>
              <w:rPr>
                <w:rFonts w:hint="eastAsia" w:ascii="方正黑体_GBK" w:eastAsia="方正黑体_GBK"/>
                <w:bCs/>
                <w:color w:val="000000"/>
                <w:sz w:val="22"/>
              </w:rPr>
              <w:t>主要牵头部门</w:t>
            </w:r>
            <w:bookmarkEnd w:id="2"/>
          </w:p>
        </w:tc>
        <w:tc>
          <w:tcPr>
            <w:tcW w:w="3458" w:type="dxa"/>
            <w:tcBorders>
              <w:tl2br w:val="nil"/>
              <w:tr2bl w:val="nil"/>
            </w:tcBorders>
            <w:shd w:val="clear" w:color="auto" w:fill="auto"/>
            <w:vAlign w:val="center"/>
          </w:tcPr>
          <w:p w14:paraId="37D8C159">
            <w:pPr>
              <w:autoSpaceDE w:val="0"/>
              <w:adjustRightInd w:val="0"/>
              <w:spacing w:beforeAutospacing="1" w:afterAutospacing="1" w:line="400" w:lineRule="exact"/>
              <w:jc w:val="center"/>
              <w:textAlignment w:val="baseline"/>
              <w:outlineLvl w:val="1"/>
              <w:rPr>
                <w:rFonts w:ascii="方正黑体_GBK" w:eastAsia="方正黑体_GBK"/>
                <w:bCs/>
                <w:sz w:val="22"/>
              </w:rPr>
            </w:pPr>
            <w:bookmarkStart w:id="3" w:name="_Toc2570"/>
            <w:r>
              <w:rPr>
                <w:rFonts w:hint="eastAsia" w:ascii="方正黑体_GBK" w:eastAsia="方正黑体_GBK"/>
                <w:bCs/>
                <w:color w:val="000000"/>
                <w:sz w:val="22"/>
              </w:rPr>
              <w:t>专项指挥机构</w:t>
            </w:r>
            <w:bookmarkEnd w:id="3"/>
          </w:p>
        </w:tc>
      </w:tr>
      <w:tr w14:paraId="04A3B2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881" w:type="dxa"/>
            <w:tcBorders>
              <w:tl2br w:val="nil"/>
              <w:tr2bl w:val="nil"/>
            </w:tcBorders>
            <w:shd w:val="clear" w:color="auto" w:fill="auto"/>
            <w:vAlign w:val="center"/>
          </w:tcPr>
          <w:p w14:paraId="4258044E">
            <w:pPr>
              <w:autoSpaceDE w:val="0"/>
              <w:adjustRightInd w:val="0"/>
              <w:spacing w:beforeAutospacing="1" w:afterAutospacing="1" w:line="300" w:lineRule="exact"/>
              <w:jc w:val="center"/>
              <w:textAlignment w:val="baseline"/>
              <w:outlineLvl w:val="1"/>
              <w:rPr>
                <w:rFonts w:eastAsia="方正仿宋_GBK"/>
                <w:sz w:val="22"/>
              </w:rPr>
            </w:pPr>
            <w:bookmarkStart w:id="4" w:name="_Toc6831"/>
            <w:r>
              <w:rPr>
                <w:rFonts w:eastAsia="方正仿宋_GBK"/>
                <w:color w:val="000000"/>
                <w:sz w:val="22"/>
              </w:rPr>
              <w:t>1</w:t>
            </w:r>
            <w:bookmarkEnd w:id="4"/>
          </w:p>
        </w:tc>
        <w:tc>
          <w:tcPr>
            <w:tcW w:w="1984" w:type="dxa"/>
            <w:tcBorders>
              <w:tl2br w:val="nil"/>
              <w:tr2bl w:val="nil"/>
            </w:tcBorders>
            <w:shd w:val="clear" w:color="auto" w:fill="auto"/>
            <w:vAlign w:val="center"/>
          </w:tcPr>
          <w:p w14:paraId="169CB86C">
            <w:pPr>
              <w:autoSpaceDE w:val="0"/>
              <w:adjustRightInd w:val="0"/>
              <w:spacing w:beforeAutospacing="1" w:afterAutospacing="1" w:line="300" w:lineRule="exact"/>
              <w:jc w:val="center"/>
              <w:textAlignment w:val="baseline"/>
              <w:outlineLvl w:val="1"/>
              <w:rPr>
                <w:rFonts w:eastAsia="方正仿宋_GBK"/>
                <w:spacing w:val="-17"/>
                <w:sz w:val="22"/>
              </w:rPr>
            </w:pPr>
            <w:bookmarkStart w:id="5" w:name="_Toc11030"/>
            <w:r>
              <w:rPr>
                <w:rFonts w:eastAsia="方正仿宋_GBK"/>
                <w:color w:val="000000"/>
                <w:spacing w:val="-17"/>
                <w:sz w:val="22"/>
              </w:rPr>
              <w:t>水旱灾害</w:t>
            </w:r>
            <w:bookmarkEnd w:id="5"/>
          </w:p>
        </w:tc>
        <w:tc>
          <w:tcPr>
            <w:tcW w:w="2667" w:type="dxa"/>
            <w:tcBorders>
              <w:tl2br w:val="nil"/>
              <w:tr2bl w:val="nil"/>
            </w:tcBorders>
            <w:shd w:val="clear" w:color="auto" w:fill="auto"/>
            <w:vAlign w:val="center"/>
          </w:tcPr>
          <w:p w14:paraId="66D5556A">
            <w:pPr>
              <w:autoSpaceDE w:val="0"/>
              <w:adjustRightInd w:val="0"/>
              <w:spacing w:beforeAutospacing="1" w:afterAutospacing="1" w:line="300" w:lineRule="exact"/>
              <w:jc w:val="center"/>
              <w:textAlignment w:val="baseline"/>
              <w:outlineLvl w:val="1"/>
              <w:rPr>
                <w:rFonts w:eastAsia="方正仿宋_GBK"/>
                <w:sz w:val="22"/>
              </w:rPr>
            </w:pPr>
            <w:bookmarkStart w:id="6" w:name="_Toc22672"/>
            <w:r>
              <w:rPr>
                <w:rFonts w:eastAsia="方正仿宋_GBK"/>
                <w:color w:val="000000"/>
                <w:sz w:val="22"/>
              </w:rPr>
              <w:t>市应急管理局、市水利局</w:t>
            </w:r>
            <w:bookmarkEnd w:id="6"/>
          </w:p>
        </w:tc>
        <w:tc>
          <w:tcPr>
            <w:tcW w:w="3458" w:type="dxa"/>
            <w:tcBorders>
              <w:tl2br w:val="nil"/>
              <w:tr2bl w:val="nil"/>
            </w:tcBorders>
            <w:shd w:val="clear" w:color="auto" w:fill="auto"/>
            <w:vAlign w:val="center"/>
          </w:tcPr>
          <w:p w14:paraId="00D9C30C">
            <w:pPr>
              <w:autoSpaceDE w:val="0"/>
              <w:adjustRightInd w:val="0"/>
              <w:spacing w:beforeAutospacing="1" w:afterAutospacing="1" w:line="300" w:lineRule="exact"/>
              <w:jc w:val="center"/>
              <w:textAlignment w:val="baseline"/>
              <w:outlineLvl w:val="1"/>
              <w:rPr>
                <w:rFonts w:eastAsia="方正仿宋_GBK"/>
                <w:sz w:val="22"/>
              </w:rPr>
            </w:pPr>
            <w:bookmarkStart w:id="7" w:name="_Toc26834"/>
            <w:r>
              <w:rPr>
                <w:rFonts w:eastAsia="方正仿宋_GBK"/>
                <w:color w:val="000000"/>
                <w:sz w:val="22"/>
              </w:rPr>
              <w:t>市防汛抗旱指挥部</w:t>
            </w:r>
            <w:bookmarkEnd w:id="7"/>
          </w:p>
        </w:tc>
      </w:tr>
      <w:tr w14:paraId="7C1C3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881" w:type="dxa"/>
            <w:tcBorders>
              <w:tl2br w:val="nil"/>
              <w:tr2bl w:val="nil"/>
            </w:tcBorders>
            <w:shd w:val="clear" w:color="auto" w:fill="auto"/>
            <w:vAlign w:val="center"/>
          </w:tcPr>
          <w:p w14:paraId="5F11818F">
            <w:pPr>
              <w:autoSpaceDE w:val="0"/>
              <w:adjustRightInd w:val="0"/>
              <w:spacing w:beforeAutospacing="1" w:afterAutospacing="1" w:line="300" w:lineRule="exact"/>
              <w:jc w:val="center"/>
              <w:textAlignment w:val="baseline"/>
              <w:outlineLvl w:val="1"/>
              <w:rPr>
                <w:rFonts w:eastAsia="方正仿宋_GBK"/>
                <w:sz w:val="22"/>
              </w:rPr>
            </w:pPr>
            <w:bookmarkStart w:id="8" w:name="_Toc9258"/>
            <w:r>
              <w:rPr>
                <w:rFonts w:eastAsia="方正仿宋_GBK"/>
                <w:color w:val="000000"/>
                <w:sz w:val="22"/>
              </w:rPr>
              <w:t>2</w:t>
            </w:r>
            <w:bookmarkEnd w:id="8"/>
          </w:p>
        </w:tc>
        <w:tc>
          <w:tcPr>
            <w:tcW w:w="1984" w:type="dxa"/>
            <w:tcBorders>
              <w:tl2br w:val="nil"/>
              <w:tr2bl w:val="nil"/>
            </w:tcBorders>
            <w:shd w:val="clear" w:color="auto" w:fill="auto"/>
            <w:vAlign w:val="center"/>
          </w:tcPr>
          <w:p w14:paraId="6888AA9F">
            <w:pPr>
              <w:autoSpaceDE w:val="0"/>
              <w:adjustRightInd w:val="0"/>
              <w:spacing w:beforeAutospacing="1" w:afterAutospacing="1" w:line="300" w:lineRule="exact"/>
              <w:jc w:val="center"/>
              <w:textAlignment w:val="baseline"/>
              <w:outlineLvl w:val="1"/>
              <w:rPr>
                <w:rFonts w:eastAsia="方正仿宋_GBK"/>
                <w:spacing w:val="-17"/>
                <w:sz w:val="22"/>
              </w:rPr>
            </w:pPr>
            <w:bookmarkStart w:id="9" w:name="_Toc18030"/>
            <w:r>
              <w:rPr>
                <w:rFonts w:eastAsia="方正仿宋_GBK"/>
                <w:color w:val="000000"/>
                <w:spacing w:val="-17"/>
                <w:sz w:val="22"/>
              </w:rPr>
              <w:t>气象灾害</w:t>
            </w:r>
            <w:bookmarkEnd w:id="9"/>
          </w:p>
        </w:tc>
        <w:tc>
          <w:tcPr>
            <w:tcW w:w="2667" w:type="dxa"/>
            <w:tcBorders>
              <w:tl2br w:val="nil"/>
              <w:tr2bl w:val="nil"/>
            </w:tcBorders>
            <w:shd w:val="clear" w:color="auto" w:fill="auto"/>
            <w:vAlign w:val="center"/>
          </w:tcPr>
          <w:p w14:paraId="486B3DCC">
            <w:pPr>
              <w:autoSpaceDE w:val="0"/>
              <w:adjustRightInd w:val="0"/>
              <w:spacing w:beforeAutospacing="1" w:afterAutospacing="1" w:line="300" w:lineRule="exact"/>
              <w:jc w:val="center"/>
              <w:textAlignment w:val="baseline"/>
              <w:outlineLvl w:val="1"/>
              <w:rPr>
                <w:rFonts w:eastAsia="方正仿宋_GBK"/>
                <w:sz w:val="22"/>
              </w:rPr>
            </w:pPr>
            <w:r>
              <w:rPr>
                <w:rFonts w:eastAsia="方正仿宋_GBK"/>
                <w:color w:val="000000"/>
                <w:sz w:val="22"/>
              </w:rPr>
              <w:t>市气象局、</w:t>
            </w:r>
            <w:bookmarkStart w:id="10" w:name="_Toc19888"/>
            <w:r>
              <w:rPr>
                <w:rFonts w:eastAsia="方正仿宋_GBK"/>
                <w:color w:val="000000"/>
                <w:sz w:val="22"/>
              </w:rPr>
              <w:t>市</w:t>
            </w:r>
            <w:bookmarkEnd w:id="10"/>
            <w:r>
              <w:rPr>
                <w:rFonts w:eastAsia="方正仿宋_GBK"/>
                <w:color w:val="000000"/>
                <w:sz w:val="22"/>
              </w:rPr>
              <w:t>应急管理局</w:t>
            </w:r>
          </w:p>
        </w:tc>
        <w:tc>
          <w:tcPr>
            <w:tcW w:w="3458" w:type="dxa"/>
            <w:tcBorders>
              <w:tl2br w:val="nil"/>
              <w:tr2bl w:val="nil"/>
            </w:tcBorders>
            <w:shd w:val="clear" w:color="auto" w:fill="auto"/>
            <w:vAlign w:val="center"/>
          </w:tcPr>
          <w:p w14:paraId="2908CE23">
            <w:pPr>
              <w:autoSpaceDE w:val="0"/>
              <w:adjustRightInd w:val="0"/>
              <w:spacing w:beforeAutospacing="1" w:afterAutospacing="1" w:line="300" w:lineRule="exact"/>
              <w:jc w:val="center"/>
              <w:textAlignment w:val="baseline"/>
              <w:outlineLvl w:val="1"/>
              <w:rPr>
                <w:rFonts w:eastAsia="方正仿宋_GBK"/>
                <w:sz w:val="22"/>
              </w:rPr>
            </w:pPr>
            <w:bookmarkStart w:id="11" w:name="_Toc27787"/>
            <w:r>
              <w:rPr>
                <w:rFonts w:eastAsia="方正仿宋_GBK"/>
                <w:color w:val="000000"/>
                <w:sz w:val="22"/>
              </w:rPr>
              <w:t>市</w:t>
            </w:r>
            <w:bookmarkEnd w:id="11"/>
            <w:r>
              <w:rPr>
                <w:rFonts w:eastAsia="方正仿宋_GBK"/>
                <w:color w:val="000000"/>
                <w:sz w:val="22"/>
              </w:rPr>
              <w:t>气象灾害应急指挥部</w:t>
            </w:r>
          </w:p>
        </w:tc>
      </w:tr>
      <w:tr w14:paraId="5EECD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881" w:type="dxa"/>
            <w:tcBorders>
              <w:tl2br w:val="nil"/>
              <w:tr2bl w:val="nil"/>
            </w:tcBorders>
            <w:shd w:val="clear" w:color="auto" w:fill="auto"/>
            <w:vAlign w:val="center"/>
          </w:tcPr>
          <w:p w14:paraId="734DDFB6">
            <w:pPr>
              <w:autoSpaceDE w:val="0"/>
              <w:adjustRightInd w:val="0"/>
              <w:spacing w:beforeAutospacing="1" w:afterAutospacing="1" w:line="300" w:lineRule="exact"/>
              <w:jc w:val="center"/>
              <w:textAlignment w:val="baseline"/>
              <w:outlineLvl w:val="1"/>
              <w:rPr>
                <w:rFonts w:eastAsia="方正仿宋_GBK"/>
                <w:sz w:val="22"/>
              </w:rPr>
            </w:pPr>
            <w:bookmarkStart w:id="12" w:name="_Toc5391"/>
            <w:r>
              <w:rPr>
                <w:rFonts w:eastAsia="方正仿宋_GBK"/>
                <w:color w:val="000000"/>
                <w:sz w:val="22"/>
              </w:rPr>
              <w:t>3</w:t>
            </w:r>
            <w:bookmarkEnd w:id="12"/>
          </w:p>
        </w:tc>
        <w:tc>
          <w:tcPr>
            <w:tcW w:w="1984" w:type="dxa"/>
            <w:tcBorders>
              <w:tl2br w:val="nil"/>
              <w:tr2bl w:val="nil"/>
            </w:tcBorders>
            <w:shd w:val="clear" w:color="auto" w:fill="auto"/>
            <w:vAlign w:val="center"/>
          </w:tcPr>
          <w:p w14:paraId="7665EDAF">
            <w:pPr>
              <w:autoSpaceDE w:val="0"/>
              <w:adjustRightInd w:val="0"/>
              <w:spacing w:beforeAutospacing="1" w:afterAutospacing="1" w:line="300" w:lineRule="exact"/>
              <w:jc w:val="center"/>
              <w:textAlignment w:val="baseline"/>
              <w:outlineLvl w:val="1"/>
              <w:rPr>
                <w:rFonts w:eastAsia="方正仿宋_GBK"/>
                <w:spacing w:val="-17"/>
                <w:sz w:val="22"/>
              </w:rPr>
            </w:pPr>
            <w:bookmarkStart w:id="13" w:name="_Toc24214"/>
            <w:r>
              <w:rPr>
                <w:rFonts w:eastAsia="方正仿宋_GBK"/>
                <w:color w:val="000000"/>
                <w:spacing w:val="-17"/>
                <w:sz w:val="22"/>
              </w:rPr>
              <w:t>地震灾害</w:t>
            </w:r>
            <w:bookmarkEnd w:id="13"/>
          </w:p>
        </w:tc>
        <w:tc>
          <w:tcPr>
            <w:tcW w:w="2667" w:type="dxa"/>
            <w:tcBorders>
              <w:tl2br w:val="nil"/>
              <w:tr2bl w:val="nil"/>
            </w:tcBorders>
            <w:shd w:val="clear" w:color="auto" w:fill="auto"/>
            <w:vAlign w:val="center"/>
          </w:tcPr>
          <w:p w14:paraId="4DB347F9">
            <w:pPr>
              <w:autoSpaceDE w:val="0"/>
              <w:adjustRightInd w:val="0"/>
              <w:spacing w:beforeAutospacing="1" w:afterAutospacing="1" w:line="300" w:lineRule="exact"/>
              <w:jc w:val="center"/>
              <w:textAlignment w:val="baseline"/>
              <w:outlineLvl w:val="1"/>
              <w:rPr>
                <w:rFonts w:eastAsia="方正仿宋_GBK"/>
                <w:sz w:val="22"/>
              </w:rPr>
            </w:pPr>
            <w:bookmarkStart w:id="14" w:name="_Toc13746"/>
            <w:r>
              <w:rPr>
                <w:rFonts w:eastAsia="方正仿宋_GBK"/>
                <w:color w:val="000000"/>
                <w:sz w:val="22"/>
              </w:rPr>
              <w:t>市</w:t>
            </w:r>
            <w:bookmarkEnd w:id="14"/>
            <w:r>
              <w:rPr>
                <w:rFonts w:eastAsia="方正仿宋_GBK"/>
                <w:color w:val="000000"/>
                <w:sz w:val="22"/>
              </w:rPr>
              <w:t>应急管理局</w:t>
            </w:r>
          </w:p>
        </w:tc>
        <w:tc>
          <w:tcPr>
            <w:tcW w:w="3458" w:type="dxa"/>
            <w:tcBorders>
              <w:tl2br w:val="nil"/>
              <w:tr2bl w:val="nil"/>
            </w:tcBorders>
            <w:shd w:val="clear" w:color="auto" w:fill="auto"/>
            <w:vAlign w:val="center"/>
          </w:tcPr>
          <w:p w14:paraId="30D990A4">
            <w:pPr>
              <w:autoSpaceDE w:val="0"/>
              <w:adjustRightInd w:val="0"/>
              <w:spacing w:beforeAutospacing="1" w:afterAutospacing="1" w:line="300" w:lineRule="exact"/>
              <w:jc w:val="center"/>
              <w:textAlignment w:val="baseline"/>
              <w:outlineLvl w:val="1"/>
              <w:rPr>
                <w:rFonts w:eastAsia="方正仿宋_GBK"/>
                <w:sz w:val="22"/>
              </w:rPr>
            </w:pPr>
            <w:bookmarkStart w:id="15" w:name="_Toc24193"/>
            <w:r>
              <w:rPr>
                <w:rFonts w:eastAsia="方正仿宋_GBK"/>
                <w:color w:val="000000"/>
                <w:sz w:val="22"/>
              </w:rPr>
              <w:t>市</w:t>
            </w:r>
            <w:bookmarkEnd w:id="15"/>
            <w:r>
              <w:rPr>
                <w:rFonts w:eastAsia="方正仿宋_GBK"/>
                <w:color w:val="000000"/>
                <w:sz w:val="22"/>
              </w:rPr>
              <w:t>防震抗震减灾工作领导小组</w:t>
            </w:r>
          </w:p>
        </w:tc>
      </w:tr>
      <w:tr w14:paraId="24111E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881" w:type="dxa"/>
            <w:tcBorders>
              <w:tl2br w:val="nil"/>
              <w:tr2bl w:val="nil"/>
            </w:tcBorders>
            <w:shd w:val="clear" w:color="auto" w:fill="auto"/>
            <w:vAlign w:val="center"/>
          </w:tcPr>
          <w:p w14:paraId="23EEBA09">
            <w:pPr>
              <w:autoSpaceDE w:val="0"/>
              <w:adjustRightInd w:val="0"/>
              <w:spacing w:beforeAutospacing="1" w:afterAutospacing="1" w:line="300" w:lineRule="exact"/>
              <w:jc w:val="center"/>
              <w:textAlignment w:val="baseline"/>
              <w:outlineLvl w:val="1"/>
              <w:rPr>
                <w:rFonts w:eastAsia="方正仿宋_GBK"/>
                <w:sz w:val="22"/>
              </w:rPr>
            </w:pPr>
            <w:bookmarkStart w:id="16" w:name="_Toc16984"/>
            <w:r>
              <w:rPr>
                <w:rFonts w:eastAsia="方正仿宋_GBK"/>
                <w:color w:val="000000"/>
                <w:sz w:val="22"/>
              </w:rPr>
              <w:t>4</w:t>
            </w:r>
            <w:bookmarkEnd w:id="16"/>
          </w:p>
        </w:tc>
        <w:tc>
          <w:tcPr>
            <w:tcW w:w="1984" w:type="dxa"/>
            <w:tcBorders>
              <w:tl2br w:val="nil"/>
              <w:tr2bl w:val="nil"/>
            </w:tcBorders>
            <w:shd w:val="clear" w:color="auto" w:fill="auto"/>
            <w:vAlign w:val="center"/>
          </w:tcPr>
          <w:p w14:paraId="4B553C98">
            <w:pPr>
              <w:autoSpaceDE w:val="0"/>
              <w:adjustRightInd w:val="0"/>
              <w:spacing w:beforeAutospacing="1" w:afterAutospacing="1" w:line="300" w:lineRule="exact"/>
              <w:jc w:val="center"/>
              <w:textAlignment w:val="baseline"/>
              <w:outlineLvl w:val="1"/>
              <w:rPr>
                <w:rFonts w:eastAsia="方正仿宋_GBK"/>
                <w:spacing w:val="-17"/>
                <w:sz w:val="22"/>
              </w:rPr>
            </w:pPr>
            <w:bookmarkStart w:id="17" w:name="_Toc16757"/>
            <w:r>
              <w:rPr>
                <w:rFonts w:eastAsia="方正仿宋_GBK"/>
                <w:color w:val="000000"/>
                <w:spacing w:val="-17"/>
                <w:sz w:val="22"/>
              </w:rPr>
              <w:t>地质灾害</w:t>
            </w:r>
            <w:bookmarkEnd w:id="17"/>
          </w:p>
        </w:tc>
        <w:tc>
          <w:tcPr>
            <w:tcW w:w="2667" w:type="dxa"/>
            <w:tcBorders>
              <w:tl2br w:val="nil"/>
              <w:tr2bl w:val="nil"/>
            </w:tcBorders>
            <w:shd w:val="clear" w:color="auto" w:fill="auto"/>
            <w:vAlign w:val="center"/>
          </w:tcPr>
          <w:p w14:paraId="190B4848">
            <w:pPr>
              <w:autoSpaceDE w:val="0"/>
              <w:adjustRightInd w:val="0"/>
              <w:spacing w:beforeAutospacing="1" w:afterAutospacing="1" w:line="300" w:lineRule="exact"/>
              <w:jc w:val="center"/>
              <w:textAlignment w:val="baseline"/>
              <w:outlineLvl w:val="1"/>
              <w:rPr>
                <w:rFonts w:eastAsia="方正仿宋_GBK"/>
                <w:sz w:val="22"/>
              </w:rPr>
            </w:pPr>
            <w:bookmarkStart w:id="18" w:name="_Toc26801"/>
            <w:r>
              <w:rPr>
                <w:rFonts w:eastAsia="方正仿宋_GBK"/>
                <w:color w:val="000000"/>
                <w:sz w:val="22"/>
              </w:rPr>
              <w:t>市</w:t>
            </w:r>
            <w:bookmarkEnd w:id="18"/>
            <w:r>
              <w:rPr>
                <w:rFonts w:eastAsia="方正仿宋_GBK"/>
                <w:color w:val="000000"/>
                <w:sz w:val="22"/>
              </w:rPr>
              <w:t>应急管理局、市自然资源局</w:t>
            </w:r>
          </w:p>
        </w:tc>
        <w:tc>
          <w:tcPr>
            <w:tcW w:w="3458" w:type="dxa"/>
            <w:tcBorders>
              <w:tl2br w:val="nil"/>
              <w:tr2bl w:val="nil"/>
            </w:tcBorders>
            <w:shd w:val="clear" w:color="auto" w:fill="auto"/>
            <w:vAlign w:val="center"/>
          </w:tcPr>
          <w:p w14:paraId="6679904E">
            <w:pPr>
              <w:autoSpaceDE w:val="0"/>
              <w:adjustRightInd w:val="0"/>
              <w:spacing w:beforeAutospacing="1" w:afterAutospacing="1" w:line="300" w:lineRule="exact"/>
              <w:jc w:val="center"/>
              <w:textAlignment w:val="baseline"/>
              <w:outlineLvl w:val="1"/>
              <w:rPr>
                <w:rFonts w:eastAsia="方正仿宋_GBK"/>
                <w:sz w:val="22"/>
              </w:rPr>
            </w:pPr>
            <w:bookmarkStart w:id="19" w:name="_Toc4708"/>
            <w:r>
              <w:rPr>
                <w:rFonts w:eastAsia="方正仿宋_GBK"/>
                <w:color w:val="000000"/>
                <w:sz w:val="22"/>
              </w:rPr>
              <w:t>市</w:t>
            </w:r>
            <w:bookmarkEnd w:id="19"/>
            <w:r>
              <w:rPr>
                <w:rFonts w:eastAsia="方正仿宋_GBK"/>
                <w:color w:val="000000"/>
                <w:sz w:val="22"/>
              </w:rPr>
              <w:t>地质灾害应急指挥部</w:t>
            </w:r>
          </w:p>
        </w:tc>
      </w:tr>
      <w:tr w14:paraId="734B0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881" w:type="dxa"/>
            <w:tcBorders>
              <w:tl2br w:val="nil"/>
              <w:tr2bl w:val="nil"/>
            </w:tcBorders>
            <w:shd w:val="clear" w:color="auto" w:fill="auto"/>
            <w:vAlign w:val="center"/>
          </w:tcPr>
          <w:p w14:paraId="66951978">
            <w:pPr>
              <w:autoSpaceDE w:val="0"/>
              <w:adjustRightInd w:val="0"/>
              <w:spacing w:beforeAutospacing="1" w:afterAutospacing="1" w:line="300" w:lineRule="exact"/>
              <w:jc w:val="center"/>
              <w:textAlignment w:val="baseline"/>
              <w:outlineLvl w:val="1"/>
              <w:rPr>
                <w:rFonts w:eastAsia="方正仿宋_GBK"/>
                <w:sz w:val="22"/>
              </w:rPr>
            </w:pPr>
            <w:bookmarkStart w:id="20" w:name="_Toc24457"/>
            <w:r>
              <w:rPr>
                <w:rFonts w:eastAsia="方正仿宋_GBK"/>
                <w:color w:val="000000"/>
                <w:sz w:val="22"/>
              </w:rPr>
              <w:t>5</w:t>
            </w:r>
            <w:bookmarkEnd w:id="20"/>
          </w:p>
        </w:tc>
        <w:tc>
          <w:tcPr>
            <w:tcW w:w="1984" w:type="dxa"/>
            <w:tcBorders>
              <w:tl2br w:val="nil"/>
              <w:tr2bl w:val="nil"/>
            </w:tcBorders>
            <w:shd w:val="clear" w:color="auto" w:fill="auto"/>
            <w:vAlign w:val="center"/>
          </w:tcPr>
          <w:p w14:paraId="30D15CC1">
            <w:pPr>
              <w:autoSpaceDE w:val="0"/>
              <w:adjustRightInd w:val="0"/>
              <w:spacing w:beforeAutospacing="1" w:afterAutospacing="1" w:line="300" w:lineRule="exact"/>
              <w:jc w:val="center"/>
              <w:textAlignment w:val="baseline"/>
              <w:outlineLvl w:val="1"/>
              <w:rPr>
                <w:rFonts w:eastAsia="方正仿宋_GBK"/>
                <w:spacing w:val="-17"/>
                <w:sz w:val="22"/>
              </w:rPr>
            </w:pPr>
            <w:bookmarkStart w:id="21" w:name="_Toc20581"/>
            <w:r>
              <w:rPr>
                <w:rFonts w:eastAsia="方正仿宋_GBK"/>
                <w:color w:val="000000"/>
                <w:spacing w:val="-17"/>
                <w:sz w:val="22"/>
              </w:rPr>
              <w:t>森林草原火灾</w:t>
            </w:r>
            <w:bookmarkEnd w:id="21"/>
          </w:p>
        </w:tc>
        <w:tc>
          <w:tcPr>
            <w:tcW w:w="2667" w:type="dxa"/>
            <w:tcBorders>
              <w:tl2br w:val="nil"/>
              <w:tr2bl w:val="nil"/>
            </w:tcBorders>
            <w:shd w:val="clear" w:color="auto" w:fill="auto"/>
            <w:vAlign w:val="center"/>
          </w:tcPr>
          <w:p w14:paraId="7FFBDF8A">
            <w:pPr>
              <w:autoSpaceDE w:val="0"/>
              <w:adjustRightInd w:val="0"/>
              <w:spacing w:beforeAutospacing="1" w:afterAutospacing="1" w:line="300" w:lineRule="exact"/>
              <w:jc w:val="center"/>
              <w:textAlignment w:val="baseline"/>
              <w:outlineLvl w:val="1"/>
              <w:rPr>
                <w:rFonts w:eastAsia="方正仿宋_GBK"/>
                <w:color w:val="000000"/>
                <w:sz w:val="22"/>
              </w:rPr>
            </w:pPr>
            <w:bookmarkStart w:id="22" w:name="_Toc18963"/>
            <w:r>
              <w:rPr>
                <w:rFonts w:eastAsia="方正仿宋_GBK"/>
                <w:color w:val="000000"/>
                <w:sz w:val="22"/>
              </w:rPr>
              <w:t>市</w:t>
            </w:r>
            <w:bookmarkEnd w:id="22"/>
            <w:r>
              <w:rPr>
                <w:rFonts w:eastAsia="方正仿宋_GBK"/>
                <w:color w:val="000000"/>
                <w:sz w:val="22"/>
              </w:rPr>
              <w:t>应急管理局、市林草局</w:t>
            </w:r>
          </w:p>
        </w:tc>
        <w:tc>
          <w:tcPr>
            <w:tcW w:w="3458" w:type="dxa"/>
            <w:tcBorders>
              <w:tl2br w:val="nil"/>
              <w:tr2bl w:val="nil"/>
            </w:tcBorders>
            <w:shd w:val="clear" w:color="auto" w:fill="auto"/>
            <w:vAlign w:val="center"/>
          </w:tcPr>
          <w:p w14:paraId="0617F0E7">
            <w:pPr>
              <w:autoSpaceDE w:val="0"/>
              <w:adjustRightInd w:val="0"/>
              <w:spacing w:beforeAutospacing="1" w:afterAutospacing="1" w:line="300" w:lineRule="exact"/>
              <w:jc w:val="center"/>
              <w:textAlignment w:val="baseline"/>
              <w:outlineLvl w:val="1"/>
              <w:rPr>
                <w:rFonts w:eastAsia="方正仿宋_GBK"/>
                <w:sz w:val="22"/>
              </w:rPr>
            </w:pPr>
            <w:bookmarkStart w:id="23" w:name="_Toc17834"/>
            <w:r>
              <w:rPr>
                <w:rFonts w:eastAsia="方正仿宋_GBK"/>
                <w:color w:val="000000"/>
                <w:sz w:val="22"/>
              </w:rPr>
              <w:t>市</w:t>
            </w:r>
            <w:bookmarkEnd w:id="23"/>
            <w:r>
              <w:rPr>
                <w:rFonts w:eastAsia="方正仿宋_GBK"/>
                <w:color w:val="000000"/>
                <w:sz w:val="22"/>
              </w:rPr>
              <w:t>森林草原防灭火指挥部</w:t>
            </w:r>
          </w:p>
        </w:tc>
      </w:tr>
      <w:tr w14:paraId="583D2B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81" w:type="dxa"/>
            <w:vMerge w:val="restart"/>
            <w:tcBorders>
              <w:tl2br w:val="nil"/>
              <w:tr2bl w:val="nil"/>
            </w:tcBorders>
            <w:shd w:val="clear" w:color="auto" w:fill="auto"/>
            <w:vAlign w:val="center"/>
          </w:tcPr>
          <w:p w14:paraId="1177587E">
            <w:pPr>
              <w:widowControl/>
              <w:spacing w:beforeAutospacing="1" w:afterAutospacing="1"/>
              <w:jc w:val="center"/>
              <w:outlineLvl w:val="1"/>
              <w:rPr>
                <w:rFonts w:eastAsia="方正仿宋_GBK"/>
                <w:sz w:val="22"/>
              </w:rPr>
            </w:pPr>
            <w:bookmarkStart w:id="24" w:name="_Toc29649"/>
            <w:r>
              <w:rPr>
                <w:rFonts w:eastAsia="方正仿宋_GBK"/>
                <w:color w:val="000000"/>
                <w:sz w:val="22"/>
              </w:rPr>
              <w:t>6</w:t>
            </w:r>
            <w:bookmarkEnd w:id="24"/>
          </w:p>
        </w:tc>
        <w:tc>
          <w:tcPr>
            <w:tcW w:w="1984" w:type="dxa"/>
            <w:vMerge w:val="restart"/>
            <w:tcBorders>
              <w:tl2br w:val="nil"/>
              <w:tr2bl w:val="nil"/>
            </w:tcBorders>
            <w:shd w:val="clear" w:color="auto" w:fill="auto"/>
            <w:vAlign w:val="center"/>
          </w:tcPr>
          <w:p w14:paraId="3B4A4260">
            <w:pPr>
              <w:widowControl/>
              <w:spacing w:beforeAutospacing="1" w:afterAutospacing="1"/>
              <w:jc w:val="center"/>
              <w:outlineLvl w:val="1"/>
              <w:rPr>
                <w:rFonts w:eastAsia="方正仿宋_GBK"/>
                <w:spacing w:val="-17"/>
                <w:sz w:val="22"/>
              </w:rPr>
            </w:pPr>
            <w:bookmarkStart w:id="25" w:name="_Toc18714"/>
            <w:r>
              <w:rPr>
                <w:rFonts w:eastAsia="方正仿宋_GBK"/>
                <w:color w:val="000000"/>
                <w:spacing w:val="-17"/>
                <w:sz w:val="22"/>
              </w:rPr>
              <w:t>生物灾害</w:t>
            </w:r>
            <w:bookmarkEnd w:id="25"/>
          </w:p>
        </w:tc>
        <w:tc>
          <w:tcPr>
            <w:tcW w:w="2667" w:type="dxa"/>
            <w:vMerge w:val="restart"/>
            <w:tcBorders>
              <w:tl2br w:val="nil"/>
              <w:tr2bl w:val="nil"/>
            </w:tcBorders>
            <w:shd w:val="clear" w:color="auto" w:fill="auto"/>
            <w:vAlign w:val="center"/>
          </w:tcPr>
          <w:p w14:paraId="7C5C7CAA">
            <w:pPr>
              <w:autoSpaceDE w:val="0"/>
              <w:adjustRightInd w:val="0"/>
              <w:spacing w:beforeAutospacing="1" w:afterAutospacing="1" w:line="300" w:lineRule="exact"/>
              <w:jc w:val="center"/>
              <w:textAlignment w:val="baseline"/>
              <w:outlineLvl w:val="1"/>
              <w:rPr>
                <w:rFonts w:eastAsia="方正仿宋_GBK"/>
                <w:color w:val="000000"/>
                <w:sz w:val="22"/>
              </w:rPr>
            </w:pPr>
            <w:bookmarkStart w:id="26" w:name="_Toc17550"/>
            <w:r>
              <w:rPr>
                <w:rFonts w:eastAsia="方正仿宋_GBK"/>
                <w:color w:val="000000"/>
                <w:sz w:val="22"/>
              </w:rPr>
              <w:t>市</w:t>
            </w:r>
            <w:bookmarkEnd w:id="26"/>
            <w:r>
              <w:rPr>
                <w:rFonts w:eastAsia="方正仿宋_GBK"/>
                <w:color w:val="000000"/>
                <w:sz w:val="22"/>
              </w:rPr>
              <w:t>农业农村局、市林草局</w:t>
            </w:r>
          </w:p>
        </w:tc>
        <w:tc>
          <w:tcPr>
            <w:tcW w:w="3458" w:type="dxa"/>
            <w:tcBorders>
              <w:tl2br w:val="nil"/>
              <w:tr2bl w:val="nil"/>
            </w:tcBorders>
            <w:shd w:val="clear" w:color="auto" w:fill="auto"/>
            <w:vAlign w:val="center"/>
          </w:tcPr>
          <w:p w14:paraId="493A62FF">
            <w:pPr>
              <w:autoSpaceDE w:val="0"/>
              <w:adjustRightInd w:val="0"/>
              <w:spacing w:beforeAutospacing="1" w:afterAutospacing="1" w:line="300" w:lineRule="exact"/>
              <w:jc w:val="center"/>
              <w:textAlignment w:val="baseline"/>
              <w:outlineLvl w:val="1"/>
              <w:rPr>
                <w:rFonts w:eastAsia="方正仿宋_GBK"/>
                <w:sz w:val="22"/>
              </w:rPr>
            </w:pPr>
            <w:bookmarkStart w:id="27" w:name="_Toc18348"/>
            <w:r>
              <w:rPr>
                <w:rFonts w:eastAsia="方正仿宋_GBK"/>
                <w:color w:val="000000"/>
                <w:sz w:val="22"/>
              </w:rPr>
              <w:t>市</w:t>
            </w:r>
            <w:bookmarkEnd w:id="27"/>
            <w:r>
              <w:rPr>
                <w:rFonts w:eastAsia="方正仿宋_GBK"/>
                <w:color w:val="000000"/>
                <w:sz w:val="22"/>
              </w:rPr>
              <w:t>农业植物有害生物应急防控指挥部</w:t>
            </w:r>
            <w:bookmarkStart w:id="28" w:name="_Toc26219"/>
            <w:bookmarkEnd w:id="28"/>
          </w:p>
        </w:tc>
      </w:tr>
      <w:tr w14:paraId="186D1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81" w:type="dxa"/>
            <w:vMerge w:val="continue"/>
            <w:tcBorders>
              <w:tl2br w:val="nil"/>
              <w:tr2bl w:val="nil"/>
            </w:tcBorders>
            <w:shd w:val="clear" w:color="auto" w:fill="auto"/>
            <w:vAlign w:val="center"/>
          </w:tcPr>
          <w:p w14:paraId="746B6822">
            <w:pPr>
              <w:jc w:val="center"/>
              <w:rPr>
                <w:rFonts w:eastAsia="方正仿宋_GBK"/>
                <w:sz w:val="22"/>
              </w:rPr>
            </w:pPr>
          </w:p>
        </w:tc>
        <w:tc>
          <w:tcPr>
            <w:tcW w:w="1984" w:type="dxa"/>
            <w:vMerge w:val="continue"/>
            <w:tcBorders>
              <w:tl2br w:val="nil"/>
              <w:tr2bl w:val="nil"/>
            </w:tcBorders>
            <w:shd w:val="clear" w:color="auto" w:fill="auto"/>
            <w:vAlign w:val="center"/>
          </w:tcPr>
          <w:p w14:paraId="193F633C">
            <w:pPr>
              <w:jc w:val="center"/>
              <w:rPr>
                <w:rFonts w:eastAsia="方正仿宋_GBK"/>
                <w:sz w:val="22"/>
              </w:rPr>
            </w:pPr>
          </w:p>
        </w:tc>
        <w:tc>
          <w:tcPr>
            <w:tcW w:w="2667" w:type="dxa"/>
            <w:vMerge w:val="continue"/>
            <w:tcBorders>
              <w:tl2br w:val="nil"/>
              <w:tr2bl w:val="nil"/>
            </w:tcBorders>
            <w:shd w:val="clear" w:color="auto" w:fill="auto"/>
            <w:vAlign w:val="center"/>
          </w:tcPr>
          <w:p w14:paraId="68FD2014">
            <w:pPr>
              <w:jc w:val="center"/>
              <w:rPr>
                <w:rFonts w:eastAsia="方正仿宋_GBK"/>
                <w:sz w:val="22"/>
              </w:rPr>
            </w:pPr>
          </w:p>
        </w:tc>
        <w:tc>
          <w:tcPr>
            <w:tcW w:w="3458" w:type="dxa"/>
            <w:tcBorders>
              <w:tl2br w:val="nil"/>
              <w:tr2bl w:val="nil"/>
            </w:tcBorders>
            <w:shd w:val="clear" w:color="auto" w:fill="auto"/>
            <w:vAlign w:val="center"/>
          </w:tcPr>
          <w:p w14:paraId="7937410A">
            <w:pPr>
              <w:autoSpaceDE w:val="0"/>
              <w:adjustRightInd w:val="0"/>
              <w:spacing w:beforeAutospacing="1" w:afterAutospacing="1" w:line="300" w:lineRule="exact"/>
              <w:jc w:val="center"/>
              <w:textAlignment w:val="baseline"/>
              <w:outlineLvl w:val="1"/>
              <w:rPr>
                <w:rFonts w:eastAsia="方正仿宋_GBK"/>
                <w:color w:val="000000"/>
                <w:sz w:val="22"/>
              </w:rPr>
            </w:pPr>
            <w:r>
              <w:rPr>
                <w:rFonts w:eastAsia="方正仿宋_GBK"/>
                <w:color w:val="000000"/>
                <w:sz w:val="22"/>
              </w:rPr>
              <w:t>市森林突发性生物灾害应急处置指挥部</w:t>
            </w:r>
          </w:p>
        </w:tc>
      </w:tr>
    </w:tbl>
    <w:p w14:paraId="4BED8BFD">
      <w:pPr>
        <w:pStyle w:val="2"/>
        <w:spacing w:beforeAutospacing="0" w:afterAutospacing="0" w:line="560" w:lineRule="exact"/>
        <w:ind w:firstLine="431" w:firstLineChars="196"/>
        <w:rPr>
          <w:rFonts w:ascii="Times New Roman" w:hAnsi="Times New Roman" w:eastAsia="方正仿宋_GBK"/>
          <w:b w:val="0"/>
          <w:sz w:val="22"/>
          <w:szCs w:val="24"/>
        </w:rPr>
      </w:pPr>
    </w:p>
    <w:p w14:paraId="7E6AA9B3">
      <w:pPr>
        <w:pStyle w:val="2"/>
        <w:spacing w:beforeAutospacing="0" w:afterAutospacing="0" w:line="560" w:lineRule="exact"/>
        <w:ind w:firstLine="560" w:firstLineChars="200"/>
        <w:rPr>
          <w:rFonts w:ascii="Times New Roman" w:hAnsi="Times New Roman" w:eastAsia="方正仿宋_GBK"/>
          <w:b w:val="0"/>
          <w:sz w:val="28"/>
          <w:szCs w:val="28"/>
        </w:rPr>
      </w:pPr>
      <w:r>
        <w:rPr>
          <w:rFonts w:ascii="Times New Roman" w:hAnsi="Times New Roman" w:eastAsia="方正仿宋_GBK"/>
          <w:b w:val="0"/>
          <w:sz w:val="28"/>
          <w:szCs w:val="28"/>
        </w:rPr>
        <w:t>2</w:t>
      </w:r>
      <w:r>
        <w:rPr>
          <w:rFonts w:hint="eastAsia" w:ascii="Times New Roman" w:hAnsi="Times New Roman" w:eastAsia="方正仿宋_GBK"/>
          <w:b w:val="0"/>
          <w:sz w:val="28"/>
          <w:szCs w:val="28"/>
        </w:rPr>
        <w:t>.</w:t>
      </w:r>
      <w:r>
        <w:rPr>
          <w:rFonts w:ascii="Times New Roman" w:hAnsi="Times New Roman" w:eastAsia="方正仿宋_GBK"/>
          <w:b w:val="0"/>
          <w:sz w:val="28"/>
          <w:szCs w:val="28"/>
        </w:rPr>
        <w:t>事故灾难类</w:t>
      </w:r>
    </w:p>
    <w:tbl>
      <w:tblPr>
        <w:tblStyle w:val="9"/>
        <w:tblW w:w="88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65"/>
        <w:gridCol w:w="2595"/>
        <w:gridCol w:w="3421"/>
      </w:tblGrid>
      <w:tr w14:paraId="29752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9" w:type="dxa"/>
            <w:tcBorders>
              <w:tl2br w:val="nil"/>
              <w:tr2bl w:val="nil"/>
            </w:tcBorders>
            <w:shd w:val="clear" w:color="auto" w:fill="auto"/>
            <w:vAlign w:val="center"/>
          </w:tcPr>
          <w:p w14:paraId="0287738C">
            <w:pPr>
              <w:autoSpaceDE w:val="0"/>
              <w:adjustRightInd w:val="0"/>
              <w:spacing w:beforeAutospacing="1" w:afterAutospacing="1" w:line="400" w:lineRule="exact"/>
              <w:jc w:val="center"/>
              <w:textAlignment w:val="baseline"/>
              <w:outlineLvl w:val="1"/>
              <w:rPr>
                <w:rFonts w:ascii="方正黑体_GBK" w:eastAsia="方正黑体_GBK"/>
                <w:bCs/>
                <w:color w:val="000000"/>
                <w:sz w:val="22"/>
              </w:rPr>
            </w:pPr>
            <w:bookmarkStart w:id="29" w:name="_Toc8575"/>
            <w:r>
              <w:rPr>
                <w:rFonts w:hint="eastAsia" w:ascii="方正黑体_GBK" w:eastAsia="方正黑体_GBK"/>
                <w:bCs/>
                <w:color w:val="000000"/>
                <w:sz w:val="22"/>
              </w:rPr>
              <w:t>序号</w:t>
            </w:r>
            <w:bookmarkEnd w:id="29"/>
          </w:p>
        </w:tc>
        <w:tc>
          <w:tcPr>
            <w:tcW w:w="1965" w:type="dxa"/>
            <w:tcBorders>
              <w:tl2br w:val="nil"/>
              <w:tr2bl w:val="nil"/>
            </w:tcBorders>
            <w:shd w:val="clear" w:color="auto" w:fill="auto"/>
            <w:vAlign w:val="center"/>
          </w:tcPr>
          <w:p w14:paraId="62F028C2">
            <w:pPr>
              <w:autoSpaceDE w:val="0"/>
              <w:adjustRightInd w:val="0"/>
              <w:spacing w:beforeAutospacing="1" w:afterAutospacing="1" w:line="400" w:lineRule="exact"/>
              <w:jc w:val="center"/>
              <w:textAlignment w:val="baseline"/>
              <w:outlineLvl w:val="1"/>
              <w:rPr>
                <w:rFonts w:ascii="方正黑体_GBK" w:eastAsia="方正黑体_GBK"/>
                <w:bCs/>
                <w:color w:val="000000"/>
                <w:sz w:val="22"/>
              </w:rPr>
            </w:pPr>
            <w:bookmarkStart w:id="30" w:name="_Toc3703"/>
            <w:r>
              <w:rPr>
                <w:rFonts w:hint="eastAsia" w:ascii="方正黑体_GBK" w:eastAsia="方正黑体_GBK"/>
                <w:bCs/>
                <w:color w:val="000000"/>
                <w:sz w:val="22"/>
              </w:rPr>
              <w:t>事件类别</w:t>
            </w:r>
            <w:bookmarkEnd w:id="30"/>
          </w:p>
        </w:tc>
        <w:tc>
          <w:tcPr>
            <w:tcW w:w="2595" w:type="dxa"/>
            <w:tcBorders>
              <w:tl2br w:val="nil"/>
              <w:tr2bl w:val="nil"/>
            </w:tcBorders>
            <w:shd w:val="clear" w:color="auto" w:fill="auto"/>
            <w:vAlign w:val="center"/>
          </w:tcPr>
          <w:p w14:paraId="5A2E8D57">
            <w:pPr>
              <w:autoSpaceDE w:val="0"/>
              <w:adjustRightInd w:val="0"/>
              <w:spacing w:beforeAutospacing="1" w:afterAutospacing="1" w:line="400" w:lineRule="exact"/>
              <w:jc w:val="center"/>
              <w:textAlignment w:val="baseline"/>
              <w:outlineLvl w:val="1"/>
              <w:rPr>
                <w:rFonts w:ascii="方正黑体_GBK" w:eastAsia="方正黑体_GBK"/>
                <w:bCs/>
                <w:color w:val="000000"/>
                <w:sz w:val="22"/>
              </w:rPr>
            </w:pPr>
            <w:bookmarkStart w:id="31" w:name="_Toc25176"/>
            <w:r>
              <w:rPr>
                <w:rFonts w:hint="eastAsia" w:ascii="方正黑体_GBK" w:eastAsia="方正黑体_GBK"/>
                <w:bCs/>
                <w:color w:val="000000"/>
                <w:sz w:val="22"/>
              </w:rPr>
              <w:t>主要牵头部门</w:t>
            </w:r>
            <w:bookmarkEnd w:id="31"/>
          </w:p>
        </w:tc>
        <w:tc>
          <w:tcPr>
            <w:tcW w:w="3421" w:type="dxa"/>
            <w:tcBorders>
              <w:tl2br w:val="nil"/>
              <w:tr2bl w:val="nil"/>
            </w:tcBorders>
            <w:shd w:val="clear" w:color="auto" w:fill="auto"/>
            <w:vAlign w:val="center"/>
          </w:tcPr>
          <w:p w14:paraId="13EA1CEE">
            <w:pPr>
              <w:autoSpaceDE w:val="0"/>
              <w:adjustRightInd w:val="0"/>
              <w:spacing w:beforeAutospacing="1" w:afterAutospacing="1" w:line="400" w:lineRule="exact"/>
              <w:jc w:val="center"/>
              <w:textAlignment w:val="baseline"/>
              <w:outlineLvl w:val="1"/>
              <w:rPr>
                <w:rFonts w:ascii="方正黑体_GBK" w:eastAsia="方正黑体_GBK"/>
                <w:bCs/>
                <w:color w:val="000000"/>
                <w:sz w:val="22"/>
              </w:rPr>
            </w:pPr>
            <w:bookmarkStart w:id="32" w:name="_Toc25280"/>
            <w:r>
              <w:rPr>
                <w:rFonts w:hint="eastAsia" w:ascii="方正黑体_GBK" w:eastAsia="方正黑体_GBK"/>
                <w:bCs/>
                <w:color w:val="000000"/>
                <w:sz w:val="22"/>
              </w:rPr>
              <w:t>专项指挥机构</w:t>
            </w:r>
            <w:bookmarkEnd w:id="32"/>
          </w:p>
        </w:tc>
      </w:tr>
      <w:tr w14:paraId="6594D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4D7E1824">
            <w:pPr>
              <w:autoSpaceDE w:val="0"/>
              <w:adjustRightInd w:val="0"/>
              <w:spacing w:beforeAutospacing="1" w:afterAutospacing="1" w:line="300" w:lineRule="exact"/>
              <w:jc w:val="center"/>
              <w:textAlignment w:val="baseline"/>
              <w:outlineLvl w:val="1"/>
              <w:rPr>
                <w:rFonts w:eastAsia="方正仿宋_GBK"/>
                <w:sz w:val="22"/>
              </w:rPr>
            </w:pPr>
            <w:bookmarkStart w:id="33" w:name="_Toc11810"/>
            <w:r>
              <w:rPr>
                <w:rFonts w:eastAsia="方正仿宋_GBK"/>
                <w:color w:val="000000"/>
                <w:sz w:val="22"/>
              </w:rPr>
              <w:t>1</w:t>
            </w:r>
            <w:bookmarkEnd w:id="33"/>
          </w:p>
        </w:tc>
        <w:tc>
          <w:tcPr>
            <w:tcW w:w="1965" w:type="dxa"/>
            <w:tcBorders>
              <w:tl2br w:val="nil"/>
              <w:tr2bl w:val="nil"/>
            </w:tcBorders>
            <w:shd w:val="clear" w:color="auto" w:fill="auto"/>
            <w:vAlign w:val="center"/>
          </w:tcPr>
          <w:p w14:paraId="6FD63430">
            <w:pPr>
              <w:autoSpaceDE w:val="0"/>
              <w:adjustRightInd w:val="0"/>
              <w:spacing w:beforeAutospacing="1" w:afterAutospacing="1" w:line="300" w:lineRule="exact"/>
              <w:jc w:val="center"/>
              <w:textAlignment w:val="baseline"/>
              <w:outlineLvl w:val="1"/>
              <w:rPr>
                <w:rFonts w:eastAsia="方正仿宋_GBK"/>
                <w:sz w:val="22"/>
              </w:rPr>
            </w:pPr>
            <w:bookmarkStart w:id="34" w:name="_Toc13563"/>
            <w:r>
              <w:rPr>
                <w:rFonts w:eastAsia="方正仿宋_GBK"/>
                <w:color w:val="000000"/>
                <w:sz w:val="22"/>
              </w:rPr>
              <w:t>煤矿事故</w:t>
            </w:r>
            <w:bookmarkEnd w:id="34"/>
          </w:p>
        </w:tc>
        <w:tc>
          <w:tcPr>
            <w:tcW w:w="2595" w:type="dxa"/>
            <w:vMerge w:val="restart"/>
            <w:tcBorders>
              <w:tl2br w:val="nil"/>
              <w:tr2bl w:val="nil"/>
            </w:tcBorders>
            <w:shd w:val="clear" w:color="auto" w:fill="auto"/>
            <w:vAlign w:val="center"/>
          </w:tcPr>
          <w:p w14:paraId="4A044D59">
            <w:pPr>
              <w:autoSpaceDE w:val="0"/>
              <w:adjustRightInd w:val="0"/>
              <w:spacing w:beforeAutospacing="1" w:afterAutospacing="1" w:line="300" w:lineRule="exact"/>
              <w:jc w:val="center"/>
              <w:textAlignment w:val="baseline"/>
              <w:outlineLvl w:val="1"/>
              <w:rPr>
                <w:rFonts w:eastAsia="方正仿宋_GBK"/>
                <w:sz w:val="22"/>
              </w:rPr>
            </w:pPr>
            <w:bookmarkStart w:id="35" w:name="_Toc24887"/>
            <w:r>
              <w:rPr>
                <w:rFonts w:eastAsia="方正仿宋_GBK"/>
                <w:color w:val="000000"/>
                <w:sz w:val="22"/>
              </w:rPr>
              <w:t>市应急管理局</w:t>
            </w:r>
            <w:bookmarkEnd w:id="35"/>
          </w:p>
        </w:tc>
        <w:tc>
          <w:tcPr>
            <w:tcW w:w="3421" w:type="dxa"/>
            <w:vMerge w:val="restart"/>
            <w:tcBorders>
              <w:tl2br w:val="nil"/>
              <w:tr2bl w:val="nil"/>
            </w:tcBorders>
            <w:shd w:val="clear" w:color="auto" w:fill="auto"/>
            <w:vAlign w:val="center"/>
          </w:tcPr>
          <w:p w14:paraId="5A643158">
            <w:pPr>
              <w:autoSpaceDE w:val="0"/>
              <w:adjustRightInd w:val="0"/>
              <w:spacing w:beforeAutospacing="1" w:afterAutospacing="1" w:line="300" w:lineRule="exact"/>
              <w:jc w:val="center"/>
              <w:textAlignment w:val="baseline"/>
              <w:outlineLvl w:val="1"/>
              <w:rPr>
                <w:rFonts w:eastAsia="方正仿宋_GBK"/>
                <w:sz w:val="22"/>
              </w:rPr>
            </w:pPr>
            <w:bookmarkStart w:id="36" w:name="_Toc4677"/>
            <w:r>
              <w:rPr>
                <w:rFonts w:eastAsia="方正仿宋_GBK"/>
                <w:color w:val="000000"/>
                <w:spacing w:val="-17"/>
                <w:sz w:val="22"/>
              </w:rPr>
              <w:t>市生产安全事故应急指挥部</w:t>
            </w:r>
            <w:bookmarkEnd w:id="36"/>
          </w:p>
        </w:tc>
      </w:tr>
      <w:tr w14:paraId="45FB88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46A7EE90">
            <w:pPr>
              <w:autoSpaceDE w:val="0"/>
              <w:adjustRightInd w:val="0"/>
              <w:spacing w:beforeAutospacing="1" w:afterAutospacing="1" w:line="300" w:lineRule="exact"/>
              <w:jc w:val="center"/>
              <w:textAlignment w:val="baseline"/>
              <w:outlineLvl w:val="1"/>
              <w:rPr>
                <w:rFonts w:eastAsia="方正仿宋_GBK"/>
                <w:sz w:val="22"/>
              </w:rPr>
            </w:pPr>
            <w:bookmarkStart w:id="37" w:name="_Toc27542"/>
            <w:r>
              <w:rPr>
                <w:rFonts w:eastAsia="方正仿宋_GBK"/>
                <w:color w:val="000000"/>
                <w:sz w:val="22"/>
              </w:rPr>
              <w:t>2</w:t>
            </w:r>
            <w:bookmarkEnd w:id="37"/>
          </w:p>
        </w:tc>
        <w:tc>
          <w:tcPr>
            <w:tcW w:w="1965" w:type="dxa"/>
            <w:tcBorders>
              <w:tl2br w:val="nil"/>
              <w:tr2bl w:val="nil"/>
            </w:tcBorders>
            <w:shd w:val="clear" w:color="auto" w:fill="auto"/>
            <w:vAlign w:val="center"/>
          </w:tcPr>
          <w:p w14:paraId="2F03659C">
            <w:pPr>
              <w:autoSpaceDE w:val="0"/>
              <w:adjustRightInd w:val="0"/>
              <w:spacing w:beforeAutospacing="1" w:afterAutospacing="1" w:line="300" w:lineRule="exact"/>
              <w:jc w:val="center"/>
              <w:textAlignment w:val="baseline"/>
              <w:outlineLvl w:val="1"/>
              <w:rPr>
                <w:rFonts w:eastAsia="方正仿宋_GBK"/>
                <w:sz w:val="22"/>
              </w:rPr>
            </w:pPr>
            <w:bookmarkStart w:id="38" w:name="_Toc28646"/>
            <w:r>
              <w:rPr>
                <w:rFonts w:eastAsia="方正仿宋_GBK"/>
                <w:color w:val="000000"/>
                <w:sz w:val="22"/>
              </w:rPr>
              <w:t>非煤矿山事故</w:t>
            </w:r>
            <w:bookmarkEnd w:id="38"/>
          </w:p>
        </w:tc>
        <w:tc>
          <w:tcPr>
            <w:tcW w:w="2595" w:type="dxa"/>
            <w:vMerge w:val="continue"/>
            <w:tcBorders>
              <w:tl2br w:val="nil"/>
              <w:tr2bl w:val="nil"/>
            </w:tcBorders>
            <w:shd w:val="clear" w:color="auto" w:fill="auto"/>
            <w:vAlign w:val="center"/>
          </w:tcPr>
          <w:p w14:paraId="01248E86">
            <w:pPr>
              <w:jc w:val="center"/>
              <w:rPr>
                <w:rFonts w:eastAsia="方正仿宋_GBK"/>
                <w:sz w:val="22"/>
              </w:rPr>
            </w:pPr>
          </w:p>
        </w:tc>
        <w:tc>
          <w:tcPr>
            <w:tcW w:w="3421" w:type="dxa"/>
            <w:vMerge w:val="continue"/>
            <w:tcBorders>
              <w:tl2br w:val="nil"/>
              <w:tr2bl w:val="nil"/>
            </w:tcBorders>
            <w:shd w:val="clear" w:color="auto" w:fill="auto"/>
            <w:vAlign w:val="center"/>
          </w:tcPr>
          <w:p w14:paraId="43ED9D3D">
            <w:pPr>
              <w:jc w:val="center"/>
              <w:rPr>
                <w:rFonts w:eastAsia="方正仿宋_GBK"/>
                <w:sz w:val="22"/>
              </w:rPr>
            </w:pPr>
          </w:p>
        </w:tc>
      </w:tr>
      <w:tr w14:paraId="39850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23DB3D92">
            <w:pPr>
              <w:autoSpaceDE w:val="0"/>
              <w:adjustRightInd w:val="0"/>
              <w:spacing w:beforeAutospacing="1" w:afterAutospacing="1" w:line="300" w:lineRule="exact"/>
              <w:jc w:val="center"/>
              <w:textAlignment w:val="baseline"/>
              <w:outlineLvl w:val="1"/>
              <w:rPr>
                <w:rFonts w:eastAsia="方正仿宋_GBK"/>
                <w:sz w:val="22"/>
              </w:rPr>
            </w:pPr>
            <w:bookmarkStart w:id="39" w:name="_Toc21200"/>
            <w:r>
              <w:rPr>
                <w:rFonts w:eastAsia="方正仿宋_GBK"/>
                <w:color w:val="000000"/>
                <w:sz w:val="22"/>
              </w:rPr>
              <w:t>3</w:t>
            </w:r>
            <w:bookmarkEnd w:id="39"/>
          </w:p>
        </w:tc>
        <w:tc>
          <w:tcPr>
            <w:tcW w:w="1965" w:type="dxa"/>
            <w:tcBorders>
              <w:tl2br w:val="nil"/>
              <w:tr2bl w:val="nil"/>
            </w:tcBorders>
            <w:shd w:val="clear" w:color="auto" w:fill="auto"/>
            <w:vAlign w:val="center"/>
          </w:tcPr>
          <w:p w14:paraId="263E94DB">
            <w:pPr>
              <w:autoSpaceDE w:val="0"/>
              <w:adjustRightInd w:val="0"/>
              <w:spacing w:beforeAutospacing="1" w:afterAutospacing="1" w:line="300" w:lineRule="exact"/>
              <w:jc w:val="center"/>
              <w:textAlignment w:val="baseline"/>
              <w:outlineLvl w:val="1"/>
              <w:rPr>
                <w:rFonts w:eastAsia="方正仿宋_GBK"/>
                <w:sz w:val="22"/>
              </w:rPr>
            </w:pPr>
            <w:bookmarkStart w:id="40" w:name="_Toc21126"/>
            <w:r>
              <w:rPr>
                <w:rFonts w:eastAsia="方正仿宋_GBK"/>
                <w:color w:val="000000"/>
                <w:spacing w:val="-17"/>
                <w:sz w:val="22"/>
              </w:rPr>
              <w:t>危险化学品事故</w:t>
            </w:r>
            <w:bookmarkEnd w:id="40"/>
          </w:p>
        </w:tc>
        <w:tc>
          <w:tcPr>
            <w:tcW w:w="2595" w:type="dxa"/>
            <w:vMerge w:val="continue"/>
            <w:tcBorders>
              <w:tl2br w:val="nil"/>
              <w:tr2bl w:val="nil"/>
            </w:tcBorders>
            <w:shd w:val="clear" w:color="auto" w:fill="auto"/>
            <w:vAlign w:val="center"/>
          </w:tcPr>
          <w:p w14:paraId="4EE966A4">
            <w:pPr>
              <w:jc w:val="center"/>
              <w:rPr>
                <w:rFonts w:eastAsia="方正仿宋_GBK"/>
                <w:sz w:val="22"/>
              </w:rPr>
            </w:pPr>
          </w:p>
        </w:tc>
        <w:tc>
          <w:tcPr>
            <w:tcW w:w="3421" w:type="dxa"/>
            <w:vMerge w:val="continue"/>
            <w:tcBorders>
              <w:tl2br w:val="nil"/>
              <w:tr2bl w:val="nil"/>
            </w:tcBorders>
            <w:shd w:val="clear" w:color="auto" w:fill="auto"/>
            <w:vAlign w:val="center"/>
          </w:tcPr>
          <w:p w14:paraId="6DB1CA8F">
            <w:pPr>
              <w:jc w:val="center"/>
              <w:rPr>
                <w:rFonts w:eastAsia="方正仿宋_GBK"/>
                <w:sz w:val="22"/>
              </w:rPr>
            </w:pPr>
          </w:p>
        </w:tc>
      </w:tr>
      <w:tr w14:paraId="0F402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3604CC81">
            <w:pPr>
              <w:autoSpaceDE w:val="0"/>
              <w:adjustRightInd w:val="0"/>
              <w:spacing w:beforeAutospacing="1" w:afterAutospacing="1" w:line="300" w:lineRule="exact"/>
              <w:jc w:val="center"/>
              <w:textAlignment w:val="baseline"/>
              <w:outlineLvl w:val="1"/>
              <w:rPr>
                <w:rFonts w:eastAsia="方正仿宋_GBK"/>
                <w:sz w:val="22"/>
              </w:rPr>
            </w:pPr>
            <w:bookmarkStart w:id="41" w:name="_Toc25123"/>
            <w:r>
              <w:rPr>
                <w:rFonts w:eastAsia="方正仿宋_GBK"/>
                <w:color w:val="000000"/>
                <w:sz w:val="22"/>
              </w:rPr>
              <w:t>4</w:t>
            </w:r>
            <w:bookmarkEnd w:id="41"/>
          </w:p>
        </w:tc>
        <w:tc>
          <w:tcPr>
            <w:tcW w:w="1965" w:type="dxa"/>
            <w:tcBorders>
              <w:tl2br w:val="nil"/>
              <w:tr2bl w:val="nil"/>
            </w:tcBorders>
            <w:shd w:val="clear" w:color="auto" w:fill="auto"/>
            <w:vAlign w:val="center"/>
          </w:tcPr>
          <w:p w14:paraId="1F50279B">
            <w:pPr>
              <w:autoSpaceDE w:val="0"/>
              <w:adjustRightInd w:val="0"/>
              <w:spacing w:beforeAutospacing="1" w:afterAutospacing="1" w:line="300" w:lineRule="exact"/>
              <w:jc w:val="center"/>
              <w:textAlignment w:val="baseline"/>
              <w:outlineLvl w:val="1"/>
              <w:rPr>
                <w:rFonts w:eastAsia="方正仿宋_GBK"/>
                <w:sz w:val="22"/>
              </w:rPr>
            </w:pPr>
            <w:bookmarkStart w:id="42" w:name="_Toc17153"/>
            <w:r>
              <w:rPr>
                <w:rFonts w:eastAsia="方正仿宋_GBK"/>
                <w:color w:val="000000"/>
                <w:sz w:val="22"/>
              </w:rPr>
              <w:t>工贸行业事故</w:t>
            </w:r>
            <w:bookmarkEnd w:id="42"/>
          </w:p>
        </w:tc>
        <w:tc>
          <w:tcPr>
            <w:tcW w:w="2595" w:type="dxa"/>
            <w:vMerge w:val="continue"/>
            <w:tcBorders>
              <w:tl2br w:val="nil"/>
              <w:tr2bl w:val="nil"/>
            </w:tcBorders>
            <w:shd w:val="clear" w:color="auto" w:fill="auto"/>
            <w:vAlign w:val="center"/>
          </w:tcPr>
          <w:p w14:paraId="42068BF4">
            <w:pPr>
              <w:jc w:val="center"/>
              <w:rPr>
                <w:rFonts w:eastAsia="方正仿宋_GBK"/>
                <w:sz w:val="22"/>
              </w:rPr>
            </w:pPr>
          </w:p>
        </w:tc>
        <w:tc>
          <w:tcPr>
            <w:tcW w:w="3421" w:type="dxa"/>
            <w:vMerge w:val="continue"/>
            <w:tcBorders>
              <w:tl2br w:val="nil"/>
              <w:tr2bl w:val="nil"/>
            </w:tcBorders>
            <w:shd w:val="clear" w:color="auto" w:fill="auto"/>
            <w:vAlign w:val="center"/>
          </w:tcPr>
          <w:p w14:paraId="05E9DFDF">
            <w:pPr>
              <w:jc w:val="center"/>
              <w:rPr>
                <w:rFonts w:eastAsia="方正仿宋_GBK"/>
                <w:sz w:val="22"/>
              </w:rPr>
            </w:pPr>
          </w:p>
        </w:tc>
      </w:tr>
      <w:tr w14:paraId="28F235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6592FB46">
            <w:pPr>
              <w:autoSpaceDE w:val="0"/>
              <w:adjustRightInd w:val="0"/>
              <w:spacing w:beforeAutospacing="1" w:afterAutospacing="1" w:line="300" w:lineRule="exact"/>
              <w:jc w:val="center"/>
              <w:textAlignment w:val="baseline"/>
              <w:outlineLvl w:val="1"/>
              <w:rPr>
                <w:rFonts w:eastAsia="方正仿宋_GBK"/>
                <w:sz w:val="22"/>
              </w:rPr>
            </w:pPr>
            <w:bookmarkStart w:id="43" w:name="_Toc29461"/>
            <w:r>
              <w:rPr>
                <w:rFonts w:eastAsia="方正仿宋_GBK"/>
                <w:color w:val="000000"/>
                <w:sz w:val="22"/>
              </w:rPr>
              <w:t>5</w:t>
            </w:r>
            <w:bookmarkEnd w:id="43"/>
          </w:p>
        </w:tc>
        <w:tc>
          <w:tcPr>
            <w:tcW w:w="1965" w:type="dxa"/>
            <w:tcBorders>
              <w:tl2br w:val="nil"/>
              <w:tr2bl w:val="nil"/>
            </w:tcBorders>
            <w:shd w:val="clear" w:color="auto" w:fill="auto"/>
            <w:vAlign w:val="center"/>
          </w:tcPr>
          <w:p w14:paraId="21CAFEC5">
            <w:pPr>
              <w:autoSpaceDE w:val="0"/>
              <w:adjustRightInd w:val="0"/>
              <w:spacing w:beforeAutospacing="1" w:afterAutospacing="1" w:line="300" w:lineRule="exact"/>
              <w:jc w:val="center"/>
              <w:textAlignment w:val="baseline"/>
              <w:outlineLvl w:val="1"/>
              <w:rPr>
                <w:rFonts w:eastAsia="方正仿宋_GBK"/>
                <w:sz w:val="22"/>
              </w:rPr>
            </w:pPr>
            <w:bookmarkStart w:id="44" w:name="_Toc21079"/>
            <w:r>
              <w:rPr>
                <w:rFonts w:eastAsia="方正仿宋_GBK"/>
                <w:color w:val="000000"/>
                <w:sz w:val="22"/>
              </w:rPr>
              <w:t>火灾事故</w:t>
            </w:r>
            <w:bookmarkEnd w:id="44"/>
          </w:p>
        </w:tc>
        <w:tc>
          <w:tcPr>
            <w:tcW w:w="2595" w:type="dxa"/>
            <w:tcBorders>
              <w:tl2br w:val="nil"/>
              <w:tr2bl w:val="nil"/>
            </w:tcBorders>
            <w:shd w:val="clear" w:color="auto" w:fill="auto"/>
            <w:vAlign w:val="center"/>
          </w:tcPr>
          <w:p w14:paraId="1636C355">
            <w:pPr>
              <w:autoSpaceDE w:val="0"/>
              <w:adjustRightInd w:val="0"/>
              <w:spacing w:beforeAutospacing="1" w:afterAutospacing="1" w:line="300" w:lineRule="exact"/>
              <w:jc w:val="center"/>
              <w:textAlignment w:val="baseline"/>
              <w:outlineLvl w:val="1"/>
              <w:rPr>
                <w:rFonts w:eastAsia="方正仿宋_GBK"/>
                <w:sz w:val="22"/>
              </w:rPr>
            </w:pPr>
            <w:bookmarkStart w:id="45" w:name="_Toc14884"/>
            <w:r>
              <w:rPr>
                <w:rFonts w:eastAsia="方正仿宋_GBK"/>
                <w:color w:val="000000"/>
                <w:sz w:val="22"/>
              </w:rPr>
              <w:t>市消防救援大队</w:t>
            </w:r>
            <w:bookmarkEnd w:id="45"/>
          </w:p>
        </w:tc>
        <w:tc>
          <w:tcPr>
            <w:tcW w:w="3421" w:type="dxa"/>
            <w:tcBorders>
              <w:tl2br w:val="nil"/>
              <w:tr2bl w:val="nil"/>
            </w:tcBorders>
            <w:shd w:val="clear" w:color="auto" w:fill="auto"/>
            <w:vAlign w:val="center"/>
          </w:tcPr>
          <w:p w14:paraId="626BCAF5">
            <w:pPr>
              <w:autoSpaceDE w:val="0"/>
              <w:adjustRightInd w:val="0"/>
              <w:spacing w:beforeAutospacing="1" w:afterAutospacing="1" w:line="300" w:lineRule="exact"/>
              <w:jc w:val="center"/>
              <w:textAlignment w:val="baseline"/>
              <w:outlineLvl w:val="1"/>
              <w:rPr>
                <w:rFonts w:eastAsia="方正仿宋_GBK"/>
                <w:sz w:val="22"/>
              </w:rPr>
            </w:pPr>
            <w:bookmarkStart w:id="46" w:name="_Toc25049"/>
            <w:r>
              <w:rPr>
                <w:rFonts w:eastAsia="方正仿宋_GBK"/>
                <w:color w:val="000000"/>
                <w:sz w:val="22"/>
              </w:rPr>
              <w:t>市应对火灾事故指挥部</w:t>
            </w:r>
            <w:bookmarkEnd w:id="46"/>
          </w:p>
        </w:tc>
      </w:tr>
      <w:tr w14:paraId="04C1B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01A6EBBD">
            <w:pPr>
              <w:autoSpaceDE w:val="0"/>
              <w:adjustRightInd w:val="0"/>
              <w:spacing w:beforeAutospacing="1" w:afterAutospacing="1" w:line="300" w:lineRule="exact"/>
              <w:jc w:val="center"/>
              <w:textAlignment w:val="baseline"/>
              <w:outlineLvl w:val="1"/>
              <w:rPr>
                <w:rFonts w:eastAsia="方正仿宋_GBK"/>
                <w:sz w:val="22"/>
              </w:rPr>
            </w:pPr>
            <w:bookmarkStart w:id="47" w:name="_Toc25368"/>
            <w:r>
              <w:rPr>
                <w:rFonts w:eastAsia="方正仿宋_GBK"/>
                <w:color w:val="000000"/>
                <w:sz w:val="22"/>
              </w:rPr>
              <w:t>6</w:t>
            </w:r>
            <w:bookmarkEnd w:id="47"/>
          </w:p>
        </w:tc>
        <w:tc>
          <w:tcPr>
            <w:tcW w:w="1965" w:type="dxa"/>
            <w:tcBorders>
              <w:tl2br w:val="nil"/>
              <w:tr2bl w:val="nil"/>
            </w:tcBorders>
            <w:shd w:val="clear" w:color="auto" w:fill="auto"/>
            <w:vAlign w:val="center"/>
          </w:tcPr>
          <w:p w14:paraId="43C8F9C1">
            <w:pPr>
              <w:autoSpaceDE w:val="0"/>
              <w:adjustRightInd w:val="0"/>
              <w:spacing w:beforeAutospacing="1" w:afterAutospacing="1" w:line="300" w:lineRule="exact"/>
              <w:jc w:val="center"/>
              <w:textAlignment w:val="baseline"/>
              <w:outlineLvl w:val="1"/>
              <w:rPr>
                <w:rFonts w:eastAsia="方正仿宋_GBK"/>
                <w:sz w:val="22"/>
              </w:rPr>
            </w:pPr>
            <w:bookmarkStart w:id="48" w:name="_Toc3556"/>
            <w:r>
              <w:rPr>
                <w:rFonts w:eastAsia="方正仿宋_GBK"/>
                <w:color w:val="000000"/>
                <w:sz w:val="22"/>
              </w:rPr>
              <w:t>道路交通事故</w:t>
            </w:r>
            <w:bookmarkEnd w:id="48"/>
          </w:p>
        </w:tc>
        <w:tc>
          <w:tcPr>
            <w:tcW w:w="2595" w:type="dxa"/>
            <w:tcBorders>
              <w:tl2br w:val="nil"/>
              <w:tr2bl w:val="nil"/>
            </w:tcBorders>
            <w:shd w:val="clear" w:color="auto" w:fill="auto"/>
            <w:vAlign w:val="center"/>
          </w:tcPr>
          <w:p w14:paraId="77EAFD29">
            <w:pPr>
              <w:autoSpaceDE w:val="0"/>
              <w:adjustRightInd w:val="0"/>
              <w:spacing w:beforeAutospacing="1" w:afterAutospacing="1" w:line="300" w:lineRule="exact"/>
              <w:jc w:val="center"/>
              <w:textAlignment w:val="baseline"/>
              <w:outlineLvl w:val="1"/>
              <w:rPr>
                <w:rFonts w:eastAsia="方正仿宋_GBK"/>
                <w:sz w:val="22"/>
              </w:rPr>
            </w:pPr>
            <w:bookmarkStart w:id="49" w:name="_Toc13883"/>
            <w:r>
              <w:rPr>
                <w:rFonts w:eastAsia="方正仿宋_GBK"/>
                <w:color w:val="000000"/>
                <w:sz w:val="22"/>
              </w:rPr>
              <w:t>市公安局</w:t>
            </w:r>
            <w:bookmarkEnd w:id="49"/>
          </w:p>
        </w:tc>
        <w:tc>
          <w:tcPr>
            <w:tcW w:w="3421" w:type="dxa"/>
            <w:tcBorders>
              <w:tl2br w:val="nil"/>
              <w:tr2bl w:val="nil"/>
            </w:tcBorders>
            <w:shd w:val="clear" w:color="auto" w:fill="auto"/>
            <w:vAlign w:val="center"/>
          </w:tcPr>
          <w:p w14:paraId="3395D189">
            <w:pPr>
              <w:autoSpaceDE w:val="0"/>
              <w:adjustRightInd w:val="0"/>
              <w:spacing w:beforeAutospacing="1" w:afterAutospacing="1" w:line="300" w:lineRule="exact"/>
              <w:jc w:val="center"/>
              <w:textAlignment w:val="baseline"/>
              <w:outlineLvl w:val="1"/>
              <w:rPr>
                <w:rFonts w:eastAsia="方正仿宋_GBK"/>
                <w:sz w:val="22"/>
              </w:rPr>
            </w:pPr>
            <w:bookmarkStart w:id="50" w:name="_Toc1047"/>
            <w:r>
              <w:rPr>
                <w:rFonts w:eastAsia="方正仿宋_GBK"/>
                <w:color w:val="000000"/>
                <w:sz w:val="22"/>
              </w:rPr>
              <w:t>市交通事故应急指挥部</w:t>
            </w:r>
            <w:bookmarkEnd w:id="50"/>
          </w:p>
        </w:tc>
      </w:tr>
      <w:tr w14:paraId="5C0D1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529769DD">
            <w:pPr>
              <w:autoSpaceDE w:val="0"/>
              <w:adjustRightInd w:val="0"/>
              <w:spacing w:beforeAutospacing="1" w:afterAutospacing="1" w:line="300" w:lineRule="exact"/>
              <w:jc w:val="center"/>
              <w:textAlignment w:val="baseline"/>
              <w:outlineLvl w:val="1"/>
              <w:rPr>
                <w:rFonts w:eastAsia="方正仿宋_GBK"/>
                <w:sz w:val="22"/>
              </w:rPr>
            </w:pPr>
            <w:bookmarkStart w:id="51" w:name="_Toc17875"/>
            <w:r>
              <w:rPr>
                <w:rFonts w:eastAsia="方正仿宋_GBK"/>
                <w:color w:val="000000"/>
                <w:sz w:val="22"/>
              </w:rPr>
              <w:t>7</w:t>
            </w:r>
            <w:bookmarkEnd w:id="51"/>
          </w:p>
        </w:tc>
        <w:tc>
          <w:tcPr>
            <w:tcW w:w="1965" w:type="dxa"/>
            <w:tcBorders>
              <w:tl2br w:val="nil"/>
              <w:tr2bl w:val="nil"/>
            </w:tcBorders>
            <w:shd w:val="clear" w:color="auto" w:fill="auto"/>
            <w:vAlign w:val="center"/>
          </w:tcPr>
          <w:p w14:paraId="62C8A7D3">
            <w:pPr>
              <w:autoSpaceDE w:val="0"/>
              <w:adjustRightInd w:val="0"/>
              <w:spacing w:beforeAutospacing="1" w:afterAutospacing="1" w:line="300" w:lineRule="exact"/>
              <w:jc w:val="center"/>
              <w:textAlignment w:val="baseline"/>
              <w:outlineLvl w:val="1"/>
              <w:rPr>
                <w:rFonts w:eastAsia="方正仿宋_GBK"/>
                <w:sz w:val="22"/>
              </w:rPr>
            </w:pPr>
            <w:bookmarkStart w:id="52" w:name="_Toc9753"/>
            <w:r>
              <w:rPr>
                <w:rFonts w:eastAsia="方正仿宋_GBK"/>
                <w:color w:val="000000"/>
                <w:sz w:val="22"/>
              </w:rPr>
              <w:t>水上事故</w:t>
            </w:r>
            <w:bookmarkEnd w:id="52"/>
          </w:p>
        </w:tc>
        <w:tc>
          <w:tcPr>
            <w:tcW w:w="2595" w:type="dxa"/>
            <w:tcBorders>
              <w:tl2br w:val="nil"/>
              <w:tr2bl w:val="nil"/>
            </w:tcBorders>
            <w:shd w:val="clear" w:color="auto" w:fill="auto"/>
            <w:vAlign w:val="center"/>
          </w:tcPr>
          <w:p w14:paraId="348FBB39">
            <w:pPr>
              <w:autoSpaceDE w:val="0"/>
              <w:adjustRightInd w:val="0"/>
              <w:spacing w:beforeAutospacing="1" w:afterAutospacing="1" w:line="300" w:lineRule="exact"/>
              <w:jc w:val="center"/>
              <w:textAlignment w:val="baseline"/>
              <w:outlineLvl w:val="1"/>
              <w:rPr>
                <w:rFonts w:eastAsia="方正仿宋_GBK"/>
                <w:sz w:val="22"/>
              </w:rPr>
            </w:pPr>
            <w:bookmarkStart w:id="53" w:name="_Toc24228"/>
            <w:r>
              <w:rPr>
                <w:rFonts w:eastAsia="方正仿宋_GBK"/>
                <w:color w:val="000000"/>
                <w:sz w:val="22"/>
              </w:rPr>
              <w:t>市交通局</w:t>
            </w:r>
            <w:bookmarkEnd w:id="53"/>
          </w:p>
        </w:tc>
        <w:tc>
          <w:tcPr>
            <w:tcW w:w="3421" w:type="dxa"/>
            <w:tcBorders>
              <w:tl2br w:val="nil"/>
              <w:tr2bl w:val="nil"/>
            </w:tcBorders>
            <w:shd w:val="clear" w:color="auto" w:fill="auto"/>
            <w:vAlign w:val="center"/>
          </w:tcPr>
          <w:p w14:paraId="335A6589">
            <w:pPr>
              <w:autoSpaceDE w:val="0"/>
              <w:adjustRightInd w:val="0"/>
              <w:spacing w:beforeAutospacing="1" w:afterAutospacing="1" w:line="300" w:lineRule="exact"/>
              <w:jc w:val="center"/>
              <w:textAlignment w:val="baseline"/>
              <w:outlineLvl w:val="1"/>
              <w:rPr>
                <w:rFonts w:eastAsia="方正仿宋_GBK"/>
                <w:sz w:val="22"/>
              </w:rPr>
            </w:pPr>
            <w:bookmarkStart w:id="54" w:name="_Toc12442"/>
            <w:r>
              <w:rPr>
                <w:rFonts w:eastAsia="方正仿宋_GBK"/>
                <w:color w:val="000000"/>
                <w:sz w:val="22"/>
              </w:rPr>
              <w:t>市交通事故应急指挥部</w:t>
            </w:r>
            <w:bookmarkEnd w:id="54"/>
          </w:p>
        </w:tc>
      </w:tr>
      <w:tr w14:paraId="63ACA6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533C0ACC">
            <w:pPr>
              <w:widowControl/>
              <w:spacing w:beforeAutospacing="1" w:afterAutospacing="1"/>
              <w:jc w:val="center"/>
              <w:outlineLvl w:val="1"/>
              <w:rPr>
                <w:rFonts w:eastAsia="方正仿宋_GBK"/>
                <w:sz w:val="22"/>
              </w:rPr>
            </w:pPr>
            <w:bookmarkStart w:id="55" w:name="_Toc21151"/>
            <w:r>
              <w:rPr>
                <w:rFonts w:eastAsia="方正仿宋_GBK"/>
                <w:color w:val="000000"/>
                <w:sz w:val="22"/>
              </w:rPr>
              <w:t>8</w:t>
            </w:r>
            <w:bookmarkEnd w:id="55"/>
          </w:p>
        </w:tc>
        <w:tc>
          <w:tcPr>
            <w:tcW w:w="1965" w:type="dxa"/>
            <w:tcBorders>
              <w:tl2br w:val="nil"/>
              <w:tr2bl w:val="nil"/>
            </w:tcBorders>
            <w:shd w:val="clear" w:color="auto" w:fill="auto"/>
            <w:vAlign w:val="center"/>
          </w:tcPr>
          <w:p w14:paraId="4793503F">
            <w:pPr>
              <w:widowControl/>
              <w:spacing w:beforeAutospacing="1" w:afterAutospacing="1"/>
              <w:jc w:val="center"/>
              <w:outlineLvl w:val="1"/>
              <w:rPr>
                <w:rFonts w:eastAsia="方正仿宋_GBK"/>
                <w:sz w:val="22"/>
              </w:rPr>
            </w:pPr>
            <w:bookmarkStart w:id="56" w:name="_Toc13830"/>
            <w:r>
              <w:rPr>
                <w:rFonts w:eastAsia="方正仿宋_GBK"/>
                <w:color w:val="000000"/>
                <w:sz w:val="22"/>
              </w:rPr>
              <w:t>铁路交通事故</w:t>
            </w:r>
            <w:bookmarkEnd w:id="56"/>
          </w:p>
        </w:tc>
        <w:tc>
          <w:tcPr>
            <w:tcW w:w="2595" w:type="dxa"/>
            <w:tcBorders>
              <w:tl2br w:val="nil"/>
              <w:tr2bl w:val="nil"/>
            </w:tcBorders>
            <w:shd w:val="clear" w:color="auto" w:fill="auto"/>
            <w:vAlign w:val="center"/>
          </w:tcPr>
          <w:p w14:paraId="2862B9A4">
            <w:pPr>
              <w:widowControl/>
              <w:spacing w:beforeAutospacing="1" w:afterAutospacing="1"/>
              <w:jc w:val="center"/>
              <w:outlineLvl w:val="1"/>
              <w:rPr>
                <w:rFonts w:eastAsia="方正仿宋_GBK"/>
                <w:sz w:val="22"/>
              </w:rPr>
            </w:pPr>
            <w:r>
              <w:rPr>
                <w:rFonts w:eastAsia="方正仿宋_GBK"/>
                <w:color w:val="000000"/>
                <w:sz w:val="22"/>
              </w:rPr>
              <w:t>中国铁路沈阳局集团有限公司白城车务段洮南站</w:t>
            </w:r>
          </w:p>
        </w:tc>
        <w:tc>
          <w:tcPr>
            <w:tcW w:w="3421" w:type="dxa"/>
            <w:tcBorders>
              <w:tl2br w:val="nil"/>
              <w:tr2bl w:val="nil"/>
            </w:tcBorders>
            <w:shd w:val="clear" w:color="auto" w:fill="auto"/>
            <w:vAlign w:val="center"/>
          </w:tcPr>
          <w:p w14:paraId="3F516ACA">
            <w:pPr>
              <w:widowControl/>
              <w:spacing w:beforeAutospacing="1" w:afterAutospacing="1"/>
              <w:jc w:val="center"/>
              <w:outlineLvl w:val="1"/>
              <w:rPr>
                <w:rFonts w:eastAsia="方正仿宋_GBK"/>
                <w:sz w:val="22"/>
              </w:rPr>
            </w:pPr>
            <w:bookmarkStart w:id="57" w:name="_Toc1421"/>
            <w:r>
              <w:rPr>
                <w:rFonts w:eastAsia="方正仿宋_GBK"/>
                <w:color w:val="000000"/>
                <w:sz w:val="22"/>
              </w:rPr>
              <w:t>铁路交通事故应急指挥部</w:t>
            </w:r>
            <w:bookmarkEnd w:id="57"/>
          </w:p>
        </w:tc>
      </w:tr>
      <w:tr w14:paraId="37F52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43A9C84C">
            <w:pPr>
              <w:widowControl/>
              <w:spacing w:beforeAutospacing="1" w:afterAutospacing="1"/>
              <w:jc w:val="center"/>
              <w:outlineLvl w:val="1"/>
              <w:rPr>
                <w:rFonts w:eastAsia="方正仿宋_GBK"/>
                <w:sz w:val="22"/>
              </w:rPr>
            </w:pPr>
            <w:bookmarkStart w:id="58" w:name="_Toc32288"/>
            <w:r>
              <w:rPr>
                <w:rFonts w:eastAsia="方正仿宋_GBK"/>
                <w:color w:val="000000"/>
                <w:sz w:val="22"/>
              </w:rPr>
              <w:t>9</w:t>
            </w:r>
            <w:bookmarkEnd w:id="58"/>
          </w:p>
        </w:tc>
        <w:tc>
          <w:tcPr>
            <w:tcW w:w="1965" w:type="dxa"/>
            <w:tcBorders>
              <w:tl2br w:val="nil"/>
              <w:tr2bl w:val="nil"/>
            </w:tcBorders>
            <w:shd w:val="clear" w:color="auto" w:fill="auto"/>
            <w:vAlign w:val="center"/>
          </w:tcPr>
          <w:p w14:paraId="2DFD91A6">
            <w:pPr>
              <w:widowControl/>
              <w:spacing w:beforeAutospacing="1" w:afterAutospacing="1"/>
              <w:jc w:val="center"/>
              <w:outlineLvl w:val="1"/>
              <w:rPr>
                <w:rFonts w:eastAsia="方正仿宋_GBK"/>
                <w:sz w:val="22"/>
              </w:rPr>
            </w:pPr>
            <w:bookmarkStart w:id="59" w:name="_Toc3083"/>
            <w:r>
              <w:rPr>
                <w:rFonts w:eastAsia="方正仿宋_GBK"/>
                <w:color w:val="000000"/>
                <w:sz w:val="22"/>
              </w:rPr>
              <w:t>建设工程事故</w:t>
            </w:r>
            <w:bookmarkEnd w:id="59"/>
          </w:p>
        </w:tc>
        <w:tc>
          <w:tcPr>
            <w:tcW w:w="2595" w:type="dxa"/>
            <w:vMerge w:val="restart"/>
            <w:tcBorders>
              <w:tl2br w:val="nil"/>
              <w:tr2bl w:val="nil"/>
            </w:tcBorders>
            <w:shd w:val="clear" w:color="auto" w:fill="auto"/>
            <w:vAlign w:val="center"/>
          </w:tcPr>
          <w:p w14:paraId="022DC8E6">
            <w:pPr>
              <w:widowControl/>
              <w:spacing w:beforeAutospacing="1" w:afterAutospacing="1"/>
              <w:jc w:val="center"/>
              <w:outlineLvl w:val="1"/>
              <w:rPr>
                <w:rFonts w:eastAsia="方正仿宋_GBK"/>
                <w:sz w:val="22"/>
              </w:rPr>
            </w:pPr>
            <w:bookmarkStart w:id="60" w:name="_Toc19205"/>
            <w:r>
              <w:rPr>
                <w:rFonts w:eastAsia="方正仿宋_GBK"/>
                <w:color w:val="000000"/>
                <w:sz w:val="22"/>
              </w:rPr>
              <w:t>市住建局</w:t>
            </w:r>
            <w:bookmarkEnd w:id="60"/>
          </w:p>
        </w:tc>
        <w:tc>
          <w:tcPr>
            <w:tcW w:w="3421" w:type="dxa"/>
            <w:vMerge w:val="restart"/>
            <w:tcBorders>
              <w:tl2br w:val="nil"/>
              <w:tr2bl w:val="nil"/>
            </w:tcBorders>
            <w:shd w:val="clear" w:color="auto" w:fill="auto"/>
            <w:vAlign w:val="center"/>
          </w:tcPr>
          <w:p w14:paraId="7BA678BC">
            <w:pPr>
              <w:widowControl/>
              <w:spacing w:beforeAutospacing="1" w:afterAutospacing="1"/>
              <w:jc w:val="center"/>
              <w:outlineLvl w:val="1"/>
              <w:rPr>
                <w:rFonts w:eastAsia="方正仿宋_GBK"/>
                <w:sz w:val="22"/>
              </w:rPr>
            </w:pPr>
            <w:bookmarkStart w:id="61" w:name="_Toc24656"/>
            <w:r>
              <w:rPr>
                <w:rFonts w:eastAsia="方正仿宋_GBK"/>
                <w:color w:val="000000"/>
                <w:spacing w:val="-17"/>
                <w:sz w:val="22"/>
              </w:rPr>
              <w:t>市城乡建设事故应急指挥部</w:t>
            </w:r>
            <w:bookmarkEnd w:id="61"/>
          </w:p>
        </w:tc>
      </w:tr>
      <w:tr w14:paraId="22BDF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266143F2">
            <w:pPr>
              <w:widowControl/>
              <w:spacing w:beforeAutospacing="1" w:afterAutospacing="1"/>
              <w:jc w:val="center"/>
              <w:outlineLvl w:val="1"/>
              <w:rPr>
                <w:rFonts w:eastAsia="方正仿宋_GBK"/>
                <w:sz w:val="22"/>
              </w:rPr>
            </w:pPr>
            <w:bookmarkStart w:id="62" w:name="_Toc11016"/>
            <w:r>
              <w:rPr>
                <w:rFonts w:eastAsia="方正仿宋_GBK"/>
                <w:color w:val="000000"/>
                <w:sz w:val="22"/>
              </w:rPr>
              <w:t>1</w:t>
            </w:r>
            <w:bookmarkEnd w:id="62"/>
            <w:r>
              <w:rPr>
                <w:rFonts w:eastAsia="方正仿宋_GBK"/>
                <w:color w:val="000000"/>
                <w:sz w:val="22"/>
              </w:rPr>
              <w:t>0</w:t>
            </w:r>
          </w:p>
        </w:tc>
        <w:tc>
          <w:tcPr>
            <w:tcW w:w="1965" w:type="dxa"/>
            <w:tcBorders>
              <w:tl2br w:val="nil"/>
              <w:tr2bl w:val="nil"/>
            </w:tcBorders>
            <w:shd w:val="clear" w:color="auto" w:fill="auto"/>
            <w:vAlign w:val="center"/>
          </w:tcPr>
          <w:p w14:paraId="24921E17">
            <w:pPr>
              <w:widowControl/>
              <w:spacing w:beforeAutospacing="1" w:afterAutospacing="1"/>
              <w:jc w:val="center"/>
              <w:outlineLvl w:val="1"/>
              <w:rPr>
                <w:rFonts w:eastAsia="方正仿宋_GBK"/>
                <w:sz w:val="22"/>
              </w:rPr>
            </w:pPr>
            <w:bookmarkStart w:id="63" w:name="_Toc5087"/>
            <w:r>
              <w:rPr>
                <w:rFonts w:eastAsia="方正仿宋_GBK"/>
                <w:color w:val="000000"/>
                <w:sz w:val="22"/>
              </w:rPr>
              <w:t>供热事故</w:t>
            </w:r>
            <w:bookmarkEnd w:id="63"/>
          </w:p>
        </w:tc>
        <w:tc>
          <w:tcPr>
            <w:tcW w:w="2595" w:type="dxa"/>
            <w:vMerge w:val="continue"/>
            <w:tcBorders>
              <w:tl2br w:val="nil"/>
              <w:tr2bl w:val="nil"/>
            </w:tcBorders>
            <w:shd w:val="clear" w:color="auto" w:fill="auto"/>
            <w:vAlign w:val="center"/>
          </w:tcPr>
          <w:p w14:paraId="2FFA5A05">
            <w:pPr>
              <w:jc w:val="center"/>
              <w:rPr>
                <w:rFonts w:eastAsia="方正仿宋_GBK"/>
                <w:sz w:val="22"/>
              </w:rPr>
            </w:pPr>
          </w:p>
        </w:tc>
        <w:tc>
          <w:tcPr>
            <w:tcW w:w="3421" w:type="dxa"/>
            <w:vMerge w:val="continue"/>
            <w:tcBorders>
              <w:tl2br w:val="nil"/>
              <w:tr2bl w:val="nil"/>
            </w:tcBorders>
            <w:shd w:val="clear" w:color="auto" w:fill="auto"/>
            <w:vAlign w:val="center"/>
          </w:tcPr>
          <w:p w14:paraId="34D064D1">
            <w:pPr>
              <w:jc w:val="center"/>
              <w:rPr>
                <w:rFonts w:eastAsia="方正仿宋_GBK"/>
                <w:sz w:val="22"/>
              </w:rPr>
            </w:pPr>
          </w:p>
        </w:tc>
      </w:tr>
      <w:tr w14:paraId="4E9BC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1CFD7C94">
            <w:pPr>
              <w:widowControl/>
              <w:spacing w:beforeAutospacing="1" w:afterAutospacing="1"/>
              <w:jc w:val="center"/>
              <w:outlineLvl w:val="1"/>
              <w:rPr>
                <w:rFonts w:eastAsia="方正仿宋_GBK"/>
                <w:sz w:val="22"/>
              </w:rPr>
            </w:pPr>
            <w:bookmarkStart w:id="64" w:name="_Toc1030"/>
            <w:r>
              <w:rPr>
                <w:rFonts w:eastAsia="方正仿宋_GBK"/>
                <w:color w:val="000000"/>
                <w:sz w:val="22"/>
              </w:rPr>
              <w:t>1</w:t>
            </w:r>
            <w:bookmarkEnd w:id="64"/>
            <w:r>
              <w:rPr>
                <w:rFonts w:eastAsia="方正仿宋_GBK"/>
                <w:color w:val="000000"/>
                <w:sz w:val="22"/>
              </w:rPr>
              <w:t>1</w:t>
            </w:r>
          </w:p>
        </w:tc>
        <w:tc>
          <w:tcPr>
            <w:tcW w:w="1965" w:type="dxa"/>
            <w:tcBorders>
              <w:tl2br w:val="nil"/>
              <w:tr2bl w:val="nil"/>
            </w:tcBorders>
            <w:shd w:val="clear" w:color="auto" w:fill="auto"/>
            <w:vAlign w:val="center"/>
          </w:tcPr>
          <w:p w14:paraId="5E80DB5E">
            <w:pPr>
              <w:widowControl/>
              <w:spacing w:beforeAutospacing="1" w:afterAutospacing="1"/>
              <w:jc w:val="center"/>
              <w:outlineLvl w:val="1"/>
              <w:rPr>
                <w:rFonts w:eastAsia="方正仿宋_GBK"/>
                <w:sz w:val="22"/>
              </w:rPr>
            </w:pPr>
            <w:bookmarkStart w:id="65" w:name="_Toc12708"/>
            <w:r>
              <w:rPr>
                <w:rFonts w:eastAsia="方正仿宋_GBK"/>
                <w:color w:val="000000"/>
                <w:sz w:val="22"/>
              </w:rPr>
              <w:t>燃气事故</w:t>
            </w:r>
            <w:bookmarkEnd w:id="65"/>
          </w:p>
        </w:tc>
        <w:tc>
          <w:tcPr>
            <w:tcW w:w="2595" w:type="dxa"/>
            <w:vMerge w:val="continue"/>
            <w:tcBorders>
              <w:tl2br w:val="nil"/>
              <w:tr2bl w:val="nil"/>
            </w:tcBorders>
            <w:shd w:val="clear" w:color="auto" w:fill="auto"/>
            <w:vAlign w:val="center"/>
          </w:tcPr>
          <w:p w14:paraId="52883B34">
            <w:pPr>
              <w:jc w:val="center"/>
              <w:rPr>
                <w:rFonts w:eastAsia="方正仿宋_GBK"/>
                <w:sz w:val="22"/>
              </w:rPr>
            </w:pPr>
          </w:p>
        </w:tc>
        <w:tc>
          <w:tcPr>
            <w:tcW w:w="3421" w:type="dxa"/>
            <w:vMerge w:val="continue"/>
            <w:tcBorders>
              <w:tl2br w:val="nil"/>
              <w:tr2bl w:val="nil"/>
            </w:tcBorders>
            <w:shd w:val="clear" w:color="auto" w:fill="auto"/>
            <w:vAlign w:val="center"/>
          </w:tcPr>
          <w:p w14:paraId="54319380">
            <w:pPr>
              <w:jc w:val="center"/>
              <w:rPr>
                <w:rFonts w:eastAsia="方正仿宋_GBK"/>
                <w:sz w:val="22"/>
              </w:rPr>
            </w:pPr>
          </w:p>
        </w:tc>
      </w:tr>
      <w:tr w14:paraId="13B0B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10A772E3">
            <w:pPr>
              <w:widowControl/>
              <w:spacing w:beforeAutospacing="1" w:afterAutospacing="1"/>
              <w:jc w:val="center"/>
              <w:outlineLvl w:val="1"/>
              <w:rPr>
                <w:rFonts w:eastAsia="方正仿宋_GBK"/>
                <w:sz w:val="22"/>
              </w:rPr>
            </w:pPr>
            <w:bookmarkStart w:id="66" w:name="_Toc1416"/>
            <w:r>
              <w:rPr>
                <w:rFonts w:eastAsia="方正仿宋_GBK"/>
                <w:color w:val="000000"/>
                <w:sz w:val="22"/>
              </w:rPr>
              <w:t>1</w:t>
            </w:r>
            <w:bookmarkEnd w:id="66"/>
            <w:r>
              <w:rPr>
                <w:rFonts w:eastAsia="方正仿宋_GBK"/>
                <w:color w:val="000000"/>
                <w:sz w:val="22"/>
              </w:rPr>
              <w:t>2</w:t>
            </w:r>
          </w:p>
        </w:tc>
        <w:tc>
          <w:tcPr>
            <w:tcW w:w="1965" w:type="dxa"/>
            <w:tcBorders>
              <w:tl2br w:val="nil"/>
              <w:tr2bl w:val="nil"/>
            </w:tcBorders>
            <w:shd w:val="clear" w:color="auto" w:fill="auto"/>
            <w:vAlign w:val="center"/>
          </w:tcPr>
          <w:p w14:paraId="5D85DA86">
            <w:pPr>
              <w:widowControl/>
              <w:spacing w:beforeAutospacing="1" w:afterAutospacing="1"/>
              <w:jc w:val="center"/>
              <w:outlineLvl w:val="1"/>
              <w:rPr>
                <w:rFonts w:eastAsia="方正仿宋_GBK"/>
                <w:sz w:val="22"/>
              </w:rPr>
            </w:pPr>
            <w:r>
              <w:rPr>
                <w:rFonts w:eastAsia="方正仿宋_GBK"/>
                <w:color w:val="000000"/>
                <w:sz w:val="22"/>
              </w:rPr>
              <w:t>供水突发事故</w:t>
            </w:r>
          </w:p>
        </w:tc>
        <w:tc>
          <w:tcPr>
            <w:tcW w:w="2595" w:type="dxa"/>
            <w:tcBorders>
              <w:tl2br w:val="nil"/>
              <w:tr2bl w:val="nil"/>
            </w:tcBorders>
            <w:shd w:val="clear" w:color="auto" w:fill="auto"/>
            <w:vAlign w:val="center"/>
          </w:tcPr>
          <w:p w14:paraId="704CAF67">
            <w:pPr>
              <w:jc w:val="center"/>
              <w:rPr>
                <w:rFonts w:eastAsia="方正仿宋_GBK"/>
                <w:sz w:val="22"/>
              </w:rPr>
            </w:pPr>
            <w:r>
              <w:rPr>
                <w:rFonts w:eastAsia="方正仿宋_GBK"/>
                <w:sz w:val="22"/>
              </w:rPr>
              <w:t>市自来水公司</w:t>
            </w:r>
          </w:p>
        </w:tc>
        <w:tc>
          <w:tcPr>
            <w:tcW w:w="3421" w:type="dxa"/>
            <w:tcBorders>
              <w:tl2br w:val="nil"/>
              <w:tr2bl w:val="nil"/>
            </w:tcBorders>
            <w:shd w:val="clear" w:color="auto" w:fill="auto"/>
            <w:vAlign w:val="center"/>
          </w:tcPr>
          <w:p w14:paraId="09E1F63B">
            <w:pPr>
              <w:jc w:val="center"/>
              <w:rPr>
                <w:rFonts w:eastAsia="方正仿宋_GBK"/>
                <w:sz w:val="22"/>
              </w:rPr>
            </w:pPr>
            <w:r>
              <w:rPr>
                <w:rFonts w:eastAsia="方正仿宋_GBK"/>
                <w:spacing w:val="-17"/>
                <w:sz w:val="22"/>
              </w:rPr>
              <w:t>市供水突发事故应急指挥部</w:t>
            </w:r>
          </w:p>
        </w:tc>
      </w:tr>
      <w:tr w14:paraId="35812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2D7732D5">
            <w:pPr>
              <w:widowControl/>
              <w:spacing w:beforeAutospacing="1" w:afterAutospacing="1"/>
              <w:jc w:val="center"/>
              <w:outlineLvl w:val="1"/>
              <w:rPr>
                <w:rFonts w:eastAsia="方正仿宋_GBK"/>
                <w:sz w:val="22"/>
              </w:rPr>
            </w:pPr>
            <w:bookmarkStart w:id="67" w:name="_Toc10394"/>
            <w:r>
              <w:rPr>
                <w:rFonts w:eastAsia="方正仿宋_GBK"/>
                <w:color w:val="000000"/>
                <w:sz w:val="22"/>
              </w:rPr>
              <w:t>1</w:t>
            </w:r>
            <w:bookmarkEnd w:id="67"/>
            <w:r>
              <w:rPr>
                <w:rFonts w:eastAsia="方正仿宋_GBK"/>
                <w:color w:val="000000"/>
                <w:sz w:val="22"/>
              </w:rPr>
              <w:t>3</w:t>
            </w:r>
          </w:p>
        </w:tc>
        <w:tc>
          <w:tcPr>
            <w:tcW w:w="1965" w:type="dxa"/>
            <w:tcBorders>
              <w:tl2br w:val="nil"/>
              <w:tr2bl w:val="nil"/>
            </w:tcBorders>
            <w:shd w:val="clear" w:color="auto" w:fill="auto"/>
            <w:vAlign w:val="center"/>
          </w:tcPr>
          <w:p w14:paraId="36845BC8">
            <w:pPr>
              <w:widowControl/>
              <w:spacing w:beforeAutospacing="1" w:afterAutospacing="1"/>
              <w:jc w:val="center"/>
              <w:outlineLvl w:val="1"/>
              <w:rPr>
                <w:rFonts w:eastAsia="方正仿宋_GBK"/>
                <w:bCs/>
                <w:spacing w:val="-17"/>
                <w:sz w:val="22"/>
              </w:rPr>
            </w:pPr>
            <w:bookmarkStart w:id="68" w:name="_Toc31266"/>
            <w:r>
              <w:rPr>
                <w:rFonts w:eastAsia="方正仿宋_GBK"/>
                <w:bCs/>
                <w:color w:val="000000"/>
                <w:spacing w:val="-17"/>
                <w:sz w:val="22"/>
              </w:rPr>
              <w:t>大面积停电事件</w:t>
            </w:r>
            <w:bookmarkEnd w:id="68"/>
          </w:p>
        </w:tc>
        <w:tc>
          <w:tcPr>
            <w:tcW w:w="2595" w:type="dxa"/>
            <w:tcBorders>
              <w:tl2br w:val="nil"/>
              <w:tr2bl w:val="nil"/>
            </w:tcBorders>
            <w:shd w:val="clear" w:color="auto" w:fill="auto"/>
            <w:vAlign w:val="center"/>
          </w:tcPr>
          <w:p w14:paraId="73738A36">
            <w:pPr>
              <w:widowControl/>
              <w:spacing w:beforeAutospacing="1" w:afterAutospacing="1"/>
              <w:jc w:val="center"/>
              <w:outlineLvl w:val="1"/>
              <w:rPr>
                <w:rFonts w:eastAsia="方正仿宋_GBK"/>
                <w:bCs/>
                <w:spacing w:val="-17"/>
                <w:sz w:val="22"/>
              </w:rPr>
            </w:pPr>
            <w:bookmarkStart w:id="69" w:name="_Toc14915"/>
            <w:r>
              <w:rPr>
                <w:rFonts w:eastAsia="方正仿宋_GBK"/>
                <w:bCs/>
                <w:color w:val="000000"/>
                <w:spacing w:val="-17"/>
                <w:sz w:val="22"/>
              </w:rPr>
              <w:t>市发改局（市</w:t>
            </w:r>
            <w:bookmarkEnd w:id="69"/>
            <w:r>
              <w:rPr>
                <w:rFonts w:eastAsia="方正仿宋_GBK"/>
                <w:bCs/>
                <w:color w:val="000000"/>
                <w:spacing w:val="-17"/>
                <w:sz w:val="22"/>
              </w:rPr>
              <w:t>能源局）</w:t>
            </w:r>
          </w:p>
        </w:tc>
        <w:tc>
          <w:tcPr>
            <w:tcW w:w="3421" w:type="dxa"/>
            <w:tcBorders>
              <w:tl2br w:val="nil"/>
              <w:tr2bl w:val="nil"/>
            </w:tcBorders>
            <w:shd w:val="clear" w:color="auto" w:fill="auto"/>
            <w:vAlign w:val="center"/>
          </w:tcPr>
          <w:p w14:paraId="63C4E46C">
            <w:pPr>
              <w:widowControl/>
              <w:spacing w:beforeAutospacing="1" w:afterAutospacing="1"/>
              <w:jc w:val="center"/>
              <w:outlineLvl w:val="1"/>
              <w:rPr>
                <w:rFonts w:eastAsia="方正仿宋_GBK"/>
                <w:bCs/>
                <w:spacing w:val="-17"/>
                <w:sz w:val="22"/>
              </w:rPr>
            </w:pPr>
            <w:bookmarkStart w:id="70" w:name="_Toc7683"/>
            <w:r>
              <w:rPr>
                <w:rFonts w:eastAsia="方正仿宋_GBK"/>
                <w:bCs/>
                <w:color w:val="000000"/>
                <w:spacing w:val="-17"/>
                <w:sz w:val="22"/>
              </w:rPr>
              <w:t>市大面积停电事件应急指挥部</w:t>
            </w:r>
            <w:bookmarkEnd w:id="70"/>
          </w:p>
        </w:tc>
      </w:tr>
      <w:tr w14:paraId="2490D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6F0E1642">
            <w:pPr>
              <w:widowControl/>
              <w:spacing w:beforeAutospacing="1" w:afterAutospacing="1"/>
              <w:jc w:val="center"/>
              <w:outlineLvl w:val="1"/>
              <w:rPr>
                <w:rFonts w:eastAsia="方正仿宋_GBK"/>
                <w:sz w:val="22"/>
              </w:rPr>
            </w:pPr>
            <w:bookmarkStart w:id="71" w:name="_Toc24296"/>
            <w:r>
              <w:rPr>
                <w:rFonts w:eastAsia="方正仿宋_GBK"/>
                <w:color w:val="000000"/>
                <w:sz w:val="22"/>
              </w:rPr>
              <w:t>1</w:t>
            </w:r>
            <w:bookmarkEnd w:id="71"/>
            <w:r>
              <w:rPr>
                <w:rFonts w:eastAsia="方正仿宋_GBK"/>
                <w:color w:val="000000"/>
                <w:sz w:val="22"/>
              </w:rPr>
              <w:t>4</w:t>
            </w:r>
          </w:p>
        </w:tc>
        <w:tc>
          <w:tcPr>
            <w:tcW w:w="1965" w:type="dxa"/>
            <w:tcBorders>
              <w:tl2br w:val="nil"/>
              <w:tr2bl w:val="nil"/>
            </w:tcBorders>
            <w:shd w:val="clear" w:color="auto" w:fill="auto"/>
            <w:vAlign w:val="center"/>
          </w:tcPr>
          <w:p w14:paraId="1045B61E">
            <w:pPr>
              <w:widowControl/>
              <w:spacing w:beforeAutospacing="1" w:afterAutospacing="1"/>
              <w:jc w:val="center"/>
              <w:outlineLvl w:val="1"/>
              <w:rPr>
                <w:rFonts w:eastAsia="方正仿宋_GBK"/>
                <w:sz w:val="22"/>
              </w:rPr>
            </w:pPr>
            <w:bookmarkStart w:id="72" w:name="_Toc1279"/>
            <w:r>
              <w:rPr>
                <w:rFonts w:eastAsia="方正仿宋_GBK"/>
                <w:color w:val="000000"/>
                <w:sz w:val="22"/>
              </w:rPr>
              <w:t>通信网络事故</w:t>
            </w:r>
            <w:bookmarkEnd w:id="72"/>
          </w:p>
        </w:tc>
        <w:tc>
          <w:tcPr>
            <w:tcW w:w="2595" w:type="dxa"/>
            <w:tcBorders>
              <w:tl2br w:val="nil"/>
              <w:tr2bl w:val="nil"/>
            </w:tcBorders>
            <w:shd w:val="clear" w:color="auto" w:fill="auto"/>
            <w:vAlign w:val="center"/>
          </w:tcPr>
          <w:p w14:paraId="2842EEC8">
            <w:pPr>
              <w:widowControl/>
              <w:spacing w:beforeAutospacing="1" w:afterAutospacing="1"/>
              <w:jc w:val="center"/>
              <w:outlineLvl w:val="1"/>
              <w:rPr>
                <w:rFonts w:eastAsia="方正仿宋_GBK"/>
                <w:sz w:val="22"/>
              </w:rPr>
            </w:pPr>
            <w:r>
              <w:rPr>
                <w:rFonts w:eastAsia="方正仿宋_GBK"/>
                <w:color w:val="000000"/>
                <w:sz w:val="22"/>
              </w:rPr>
              <w:t>市工业和信息化局</w:t>
            </w:r>
          </w:p>
        </w:tc>
        <w:tc>
          <w:tcPr>
            <w:tcW w:w="3421" w:type="dxa"/>
            <w:tcBorders>
              <w:tl2br w:val="nil"/>
              <w:tr2bl w:val="nil"/>
            </w:tcBorders>
            <w:shd w:val="clear" w:color="auto" w:fill="auto"/>
            <w:vAlign w:val="center"/>
          </w:tcPr>
          <w:p w14:paraId="219A9A6C">
            <w:pPr>
              <w:widowControl/>
              <w:spacing w:beforeAutospacing="1" w:afterAutospacing="1"/>
              <w:jc w:val="center"/>
              <w:outlineLvl w:val="1"/>
              <w:rPr>
                <w:rFonts w:eastAsia="方正仿宋_GBK"/>
                <w:sz w:val="22"/>
              </w:rPr>
            </w:pPr>
            <w:bookmarkStart w:id="73" w:name="_Toc24757"/>
            <w:r>
              <w:rPr>
                <w:rFonts w:eastAsia="方正仿宋_GBK"/>
                <w:color w:val="000000"/>
                <w:spacing w:val="-17"/>
                <w:sz w:val="22"/>
              </w:rPr>
              <w:t>市通信网络事故应急指挥部</w:t>
            </w:r>
            <w:bookmarkEnd w:id="73"/>
          </w:p>
        </w:tc>
      </w:tr>
      <w:tr w14:paraId="6D6B5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74DAE262">
            <w:pPr>
              <w:widowControl/>
              <w:spacing w:beforeAutospacing="1" w:afterAutospacing="1"/>
              <w:jc w:val="center"/>
              <w:outlineLvl w:val="1"/>
              <w:rPr>
                <w:rFonts w:eastAsia="方正仿宋_GBK"/>
                <w:sz w:val="22"/>
              </w:rPr>
            </w:pPr>
            <w:bookmarkStart w:id="74" w:name="_Toc31043"/>
            <w:r>
              <w:rPr>
                <w:rFonts w:eastAsia="方正仿宋_GBK"/>
                <w:color w:val="000000"/>
                <w:sz w:val="22"/>
              </w:rPr>
              <w:t>1</w:t>
            </w:r>
            <w:bookmarkEnd w:id="74"/>
            <w:r>
              <w:rPr>
                <w:rFonts w:eastAsia="方正仿宋_GBK"/>
                <w:color w:val="000000"/>
                <w:sz w:val="22"/>
              </w:rPr>
              <w:t>5</w:t>
            </w:r>
          </w:p>
        </w:tc>
        <w:tc>
          <w:tcPr>
            <w:tcW w:w="1965" w:type="dxa"/>
            <w:tcBorders>
              <w:tl2br w:val="nil"/>
              <w:tr2bl w:val="nil"/>
            </w:tcBorders>
            <w:shd w:val="clear" w:color="auto" w:fill="auto"/>
            <w:vAlign w:val="center"/>
          </w:tcPr>
          <w:p w14:paraId="5C4B613F">
            <w:pPr>
              <w:widowControl/>
              <w:spacing w:beforeAutospacing="1" w:afterAutospacing="1"/>
              <w:jc w:val="center"/>
              <w:outlineLvl w:val="1"/>
              <w:rPr>
                <w:rFonts w:eastAsia="方正仿宋_GBK"/>
                <w:sz w:val="22"/>
              </w:rPr>
            </w:pPr>
            <w:bookmarkStart w:id="75" w:name="_Toc32410"/>
            <w:r>
              <w:rPr>
                <w:rFonts w:eastAsia="方正仿宋_GBK"/>
                <w:color w:val="000000"/>
                <w:sz w:val="22"/>
              </w:rPr>
              <w:t>特种设备事故</w:t>
            </w:r>
            <w:bookmarkEnd w:id="75"/>
          </w:p>
        </w:tc>
        <w:tc>
          <w:tcPr>
            <w:tcW w:w="2595" w:type="dxa"/>
            <w:tcBorders>
              <w:tl2br w:val="nil"/>
              <w:tr2bl w:val="nil"/>
            </w:tcBorders>
            <w:shd w:val="clear" w:color="auto" w:fill="auto"/>
            <w:vAlign w:val="center"/>
          </w:tcPr>
          <w:p w14:paraId="1875C95A">
            <w:pPr>
              <w:widowControl/>
              <w:spacing w:beforeAutospacing="1" w:afterAutospacing="1"/>
              <w:jc w:val="center"/>
              <w:outlineLvl w:val="1"/>
              <w:rPr>
                <w:rFonts w:eastAsia="方正仿宋_GBK"/>
                <w:sz w:val="22"/>
              </w:rPr>
            </w:pPr>
            <w:bookmarkStart w:id="76" w:name="_Toc20037"/>
            <w:r>
              <w:rPr>
                <w:rFonts w:eastAsia="方正仿宋_GBK"/>
                <w:color w:val="000000"/>
                <w:sz w:val="22"/>
              </w:rPr>
              <w:t>市市场监管局</w:t>
            </w:r>
            <w:bookmarkEnd w:id="76"/>
          </w:p>
        </w:tc>
        <w:tc>
          <w:tcPr>
            <w:tcW w:w="3421" w:type="dxa"/>
            <w:tcBorders>
              <w:tl2br w:val="nil"/>
              <w:tr2bl w:val="nil"/>
            </w:tcBorders>
            <w:shd w:val="clear" w:color="auto" w:fill="auto"/>
            <w:vAlign w:val="center"/>
          </w:tcPr>
          <w:p w14:paraId="1520DF84">
            <w:pPr>
              <w:widowControl/>
              <w:spacing w:beforeAutospacing="1" w:afterAutospacing="1"/>
              <w:jc w:val="center"/>
              <w:outlineLvl w:val="1"/>
              <w:rPr>
                <w:rFonts w:eastAsia="方正仿宋_GBK"/>
                <w:sz w:val="22"/>
              </w:rPr>
            </w:pPr>
            <w:bookmarkStart w:id="77" w:name="_Toc32352"/>
            <w:r>
              <w:rPr>
                <w:rFonts w:eastAsia="方正仿宋_GBK"/>
                <w:color w:val="000000"/>
                <w:sz w:val="22"/>
              </w:rPr>
              <w:t>市特备事故应急指挥部</w:t>
            </w:r>
            <w:bookmarkEnd w:id="77"/>
          </w:p>
        </w:tc>
      </w:tr>
      <w:tr w14:paraId="432D7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3EC2248F">
            <w:pPr>
              <w:widowControl/>
              <w:spacing w:beforeAutospacing="1" w:afterAutospacing="1"/>
              <w:jc w:val="center"/>
              <w:outlineLvl w:val="1"/>
              <w:rPr>
                <w:rFonts w:eastAsia="方正仿宋_GBK"/>
                <w:color w:val="000000"/>
                <w:sz w:val="22"/>
              </w:rPr>
            </w:pPr>
            <w:bookmarkStart w:id="78" w:name="_Toc22894"/>
            <w:r>
              <w:rPr>
                <w:rFonts w:eastAsia="方正仿宋_GBK"/>
                <w:color w:val="000000"/>
                <w:sz w:val="22"/>
              </w:rPr>
              <w:t>16</w:t>
            </w:r>
          </w:p>
        </w:tc>
        <w:tc>
          <w:tcPr>
            <w:tcW w:w="1965" w:type="dxa"/>
            <w:tcBorders>
              <w:tl2br w:val="nil"/>
              <w:tr2bl w:val="nil"/>
            </w:tcBorders>
            <w:shd w:val="clear" w:color="auto" w:fill="auto"/>
            <w:vAlign w:val="center"/>
          </w:tcPr>
          <w:p w14:paraId="67857CFC">
            <w:pPr>
              <w:widowControl/>
              <w:spacing w:beforeAutospacing="1" w:afterAutospacing="1"/>
              <w:jc w:val="center"/>
              <w:outlineLvl w:val="1"/>
              <w:rPr>
                <w:rFonts w:eastAsia="方正仿宋_GBK"/>
                <w:color w:val="000000"/>
                <w:sz w:val="22"/>
              </w:rPr>
            </w:pPr>
            <w:r>
              <w:rPr>
                <w:rFonts w:eastAsia="方正仿宋_GBK"/>
                <w:color w:val="000000"/>
                <w:sz w:val="22"/>
              </w:rPr>
              <w:t>核事故</w:t>
            </w:r>
          </w:p>
        </w:tc>
        <w:tc>
          <w:tcPr>
            <w:tcW w:w="2595" w:type="dxa"/>
            <w:tcBorders>
              <w:tl2br w:val="nil"/>
              <w:tr2bl w:val="nil"/>
            </w:tcBorders>
            <w:shd w:val="clear" w:color="auto" w:fill="auto"/>
            <w:vAlign w:val="center"/>
          </w:tcPr>
          <w:p w14:paraId="25BE8729">
            <w:pPr>
              <w:widowControl/>
              <w:spacing w:beforeAutospacing="1" w:afterAutospacing="1"/>
              <w:jc w:val="center"/>
              <w:outlineLvl w:val="1"/>
              <w:rPr>
                <w:rFonts w:eastAsia="方正仿宋_GBK"/>
                <w:color w:val="000000"/>
                <w:sz w:val="22"/>
              </w:rPr>
            </w:pPr>
            <w:r>
              <w:rPr>
                <w:rFonts w:eastAsia="方正仿宋_GBK"/>
                <w:color w:val="000000"/>
                <w:sz w:val="22"/>
              </w:rPr>
              <w:t>市工业和信息化局</w:t>
            </w:r>
          </w:p>
        </w:tc>
        <w:tc>
          <w:tcPr>
            <w:tcW w:w="3421" w:type="dxa"/>
            <w:tcBorders>
              <w:tl2br w:val="nil"/>
              <w:tr2bl w:val="nil"/>
            </w:tcBorders>
            <w:shd w:val="clear" w:color="auto" w:fill="auto"/>
            <w:vAlign w:val="center"/>
          </w:tcPr>
          <w:p w14:paraId="687A4595">
            <w:pPr>
              <w:widowControl/>
              <w:spacing w:beforeAutospacing="1" w:afterAutospacing="1"/>
              <w:jc w:val="center"/>
              <w:outlineLvl w:val="1"/>
              <w:rPr>
                <w:rFonts w:eastAsia="方正仿宋_GBK"/>
                <w:color w:val="000000"/>
                <w:sz w:val="22"/>
              </w:rPr>
            </w:pPr>
            <w:r>
              <w:rPr>
                <w:rFonts w:eastAsia="方正仿宋_GBK"/>
                <w:color w:val="000000"/>
                <w:sz w:val="22"/>
              </w:rPr>
              <w:t>市核事故应急委员会</w:t>
            </w:r>
          </w:p>
        </w:tc>
      </w:tr>
      <w:bookmarkEnd w:id="78"/>
      <w:tr w14:paraId="6CEFB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206C6211">
            <w:pPr>
              <w:widowControl/>
              <w:spacing w:beforeAutospacing="1" w:afterAutospacing="1"/>
              <w:jc w:val="center"/>
              <w:outlineLvl w:val="1"/>
              <w:rPr>
                <w:rFonts w:eastAsia="方正仿宋_GBK"/>
                <w:sz w:val="22"/>
              </w:rPr>
            </w:pPr>
            <w:r>
              <w:rPr>
                <w:rFonts w:eastAsia="方正仿宋_GBK"/>
                <w:color w:val="000000"/>
                <w:sz w:val="22"/>
              </w:rPr>
              <w:t>17</w:t>
            </w:r>
          </w:p>
        </w:tc>
        <w:tc>
          <w:tcPr>
            <w:tcW w:w="1965" w:type="dxa"/>
            <w:tcBorders>
              <w:tl2br w:val="nil"/>
              <w:tr2bl w:val="nil"/>
            </w:tcBorders>
            <w:shd w:val="clear" w:color="auto" w:fill="auto"/>
            <w:vAlign w:val="center"/>
          </w:tcPr>
          <w:p w14:paraId="08A03134">
            <w:pPr>
              <w:widowControl/>
              <w:spacing w:beforeAutospacing="1" w:afterAutospacing="1"/>
              <w:jc w:val="center"/>
              <w:outlineLvl w:val="1"/>
              <w:rPr>
                <w:rFonts w:eastAsia="方正仿宋_GBK"/>
                <w:sz w:val="22"/>
              </w:rPr>
            </w:pPr>
            <w:r>
              <w:rPr>
                <w:rFonts w:eastAsia="方正仿宋_GBK"/>
                <w:color w:val="000000"/>
                <w:sz w:val="22"/>
              </w:rPr>
              <w:t>辐射事故</w:t>
            </w:r>
          </w:p>
        </w:tc>
        <w:tc>
          <w:tcPr>
            <w:tcW w:w="2595" w:type="dxa"/>
            <w:vMerge w:val="restart"/>
            <w:tcBorders>
              <w:tl2br w:val="nil"/>
              <w:tr2bl w:val="nil"/>
            </w:tcBorders>
            <w:shd w:val="clear" w:color="auto" w:fill="auto"/>
            <w:vAlign w:val="center"/>
          </w:tcPr>
          <w:p w14:paraId="6B34BC1C">
            <w:pPr>
              <w:widowControl/>
              <w:spacing w:beforeAutospacing="1" w:afterAutospacing="1"/>
              <w:jc w:val="center"/>
              <w:outlineLvl w:val="1"/>
              <w:rPr>
                <w:rFonts w:eastAsia="方正仿宋_GBK"/>
                <w:sz w:val="22"/>
              </w:rPr>
            </w:pPr>
            <w:bookmarkStart w:id="79" w:name="_Toc22254"/>
            <w:r>
              <w:rPr>
                <w:rFonts w:eastAsia="方正仿宋_GBK"/>
                <w:color w:val="000000"/>
                <w:sz w:val="22"/>
              </w:rPr>
              <w:t>市生态环境局</w:t>
            </w:r>
            <w:bookmarkEnd w:id="79"/>
          </w:p>
        </w:tc>
        <w:tc>
          <w:tcPr>
            <w:tcW w:w="3421" w:type="dxa"/>
            <w:vMerge w:val="restart"/>
            <w:tcBorders>
              <w:tl2br w:val="nil"/>
              <w:tr2bl w:val="nil"/>
            </w:tcBorders>
            <w:shd w:val="clear" w:color="auto" w:fill="auto"/>
            <w:vAlign w:val="center"/>
          </w:tcPr>
          <w:p w14:paraId="02B54AAB">
            <w:pPr>
              <w:widowControl/>
              <w:spacing w:beforeAutospacing="1" w:afterAutospacing="1"/>
              <w:jc w:val="center"/>
              <w:outlineLvl w:val="1"/>
              <w:rPr>
                <w:rFonts w:eastAsia="方正仿宋_GBK"/>
                <w:sz w:val="22"/>
              </w:rPr>
            </w:pPr>
            <w:bookmarkStart w:id="80" w:name="_Toc17269"/>
            <w:r>
              <w:rPr>
                <w:rFonts w:eastAsia="方正仿宋_GBK"/>
                <w:color w:val="000000"/>
                <w:spacing w:val="-17"/>
                <w:sz w:val="22"/>
              </w:rPr>
              <w:t>市生态环境事件应急指挥部</w:t>
            </w:r>
            <w:bookmarkEnd w:id="80"/>
          </w:p>
        </w:tc>
      </w:tr>
      <w:tr w14:paraId="09C72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649F5436">
            <w:pPr>
              <w:widowControl/>
              <w:spacing w:beforeAutospacing="1" w:afterAutospacing="1"/>
              <w:jc w:val="center"/>
              <w:outlineLvl w:val="1"/>
              <w:rPr>
                <w:rFonts w:eastAsia="方正仿宋_GBK"/>
                <w:sz w:val="22"/>
              </w:rPr>
            </w:pPr>
            <w:r>
              <w:rPr>
                <w:rFonts w:eastAsia="方正仿宋_GBK"/>
                <w:color w:val="000000"/>
                <w:sz w:val="22"/>
              </w:rPr>
              <w:t>18</w:t>
            </w:r>
          </w:p>
        </w:tc>
        <w:tc>
          <w:tcPr>
            <w:tcW w:w="1965" w:type="dxa"/>
            <w:tcBorders>
              <w:tl2br w:val="nil"/>
              <w:tr2bl w:val="nil"/>
            </w:tcBorders>
            <w:shd w:val="clear" w:color="auto" w:fill="auto"/>
            <w:vAlign w:val="center"/>
          </w:tcPr>
          <w:p w14:paraId="54484B92">
            <w:pPr>
              <w:widowControl/>
              <w:spacing w:beforeAutospacing="1" w:afterAutospacing="1"/>
              <w:jc w:val="center"/>
              <w:outlineLvl w:val="1"/>
              <w:rPr>
                <w:rFonts w:eastAsia="方正仿宋_GBK"/>
                <w:sz w:val="22"/>
              </w:rPr>
            </w:pPr>
            <w:r>
              <w:rPr>
                <w:rFonts w:eastAsia="方正仿宋_GBK"/>
                <w:color w:val="000000"/>
                <w:spacing w:val="-17"/>
                <w:sz w:val="22"/>
              </w:rPr>
              <w:t>重污染天气事件</w:t>
            </w:r>
          </w:p>
        </w:tc>
        <w:tc>
          <w:tcPr>
            <w:tcW w:w="2595" w:type="dxa"/>
            <w:vMerge w:val="continue"/>
            <w:tcBorders>
              <w:tl2br w:val="nil"/>
              <w:tr2bl w:val="nil"/>
            </w:tcBorders>
            <w:shd w:val="clear" w:color="auto" w:fill="auto"/>
            <w:vAlign w:val="center"/>
          </w:tcPr>
          <w:p w14:paraId="21BA3454">
            <w:pPr>
              <w:rPr>
                <w:rFonts w:eastAsia="方正仿宋_GBK"/>
                <w:sz w:val="22"/>
              </w:rPr>
            </w:pPr>
          </w:p>
        </w:tc>
        <w:tc>
          <w:tcPr>
            <w:tcW w:w="3421" w:type="dxa"/>
            <w:vMerge w:val="continue"/>
            <w:tcBorders>
              <w:tl2br w:val="nil"/>
              <w:tr2bl w:val="nil"/>
            </w:tcBorders>
            <w:shd w:val="clear" w:color="auto" w:fill="auto"/>
            <w:vAlign w:val="center"/>
          </w:tcPr>
          <w:p w14:paraId="19F10F88">
            <w:pPr>
              <w:rPr>
                <w:rFonts w:eastAsia="方正仿宋_GBK"/>
                <w:sz w:val="22"/>
              </w:rPr>
            </w:pPr>
          </w:p>
        </w:tc>
      </w:tr>
      <w:tr w14:paraId="6B8FA7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9" w:type="dxa"/>
            <w:tcBorders>
              <w:tl2br w:val="nil"/>
              <w:tr2bl w:val="nil"/>
            </w:tcBorders>
            <w:shd w:val="clear" w:color="auto" w:fill="auto"/>
            <w:vAlign w:val="center"/>
          </w:tcPr>
          <w:p w14:paraId="118D7E97">
            <w:pPr>
              <w:widowControl/>
              <w:spacing w:beforeAutospacing="1" w:afterAutospacing="1"/>
              <w:jc w:val="center"/>
              <w:outlineLvl w:val="1"/>
              <w:rPr>
                <w:rFonts w:eastAsia="方正仿宋_GBK"/>
                <w:color w:val="000000"/>
                <w:sz w:val="22"/>
              </w:rPr>
            </w:pPr>
            <w:r>
              <w:rPr>
                <w:rFonts w:eastAsia="方正仿宋_GBK"/>
                <w:color w:val="000000"/>
                <w:sz w:val="22"/>
              </w:rPr>
              <w:t>19</w:t>
            </w:r>
          </w:p>
        </w:tc>
        <w:tc>
          <w:tcPr>
            <w:tcW w:w="1965" w:type="dxa"/>
            <w:tcBorders>
              <w:tl2br w:val="nil"/>
              <w:tr2bl w:val="nil"/>
            </w:tcBorders>
            <w:shd w:val="clear" w:color="auto" w:fill="auto"/>
            <w:vAlign w:val="center"/>
          </w:tcPr>
          <w:p w14:paraId="25064B01">
            <w:pPr>
              <w:widowControl/>
              <w:spacing w:beforeAutospacing="1" w:afterAutospacing="1"/>
              <w:jc w:val="center"/>
              <w:outlineLvl w:val="1"/>
              <w:rPr>
                <w:rFonts w:eastAsia="方正仿宋_GBK"/>
                <w:color w:val="000000"/>
                <w:spacing w:val="-17"/>
                <w:sz w:val="22"/>
              </w:rPr>
            </w:pPr>
            <w:r>
              <w:rPr>
                <w:rFonts w:eastAsia="方正仿宋_GBK"/>
                <w:color w:val="000000"/>
                <w:sz w:val="22"/>
              </w:rPr>
              <w:t>突发环境事件</w:t>
            </w:r>
          </w:p>
        </w:tc>
        <w:tc>
          <w:tcPr>
            <w:tcW w:w="2595" w:type="dxa"/>
            <w:vMerge w:val="continue"/>
            <w:tcBorders>
              <w:tl2br w:val="nil"/>
              <w:tr2bl w:val="nil"/>
            </w:tcBorders>
            <w:shd w:val="clear" w:color="auto" w:fill="auto"/>
            <w:vAlign w:val="center"/>
          </w:tcPr>
          <w:p w14:paraId="626D306B">
            <w:pPr>
              <w:rPr>
                <w:rFonts w:eastAsia="方正仿宋_GBK"/>
                <w:sz w:val="22"/>
              </w:rPr>
            </w:pPr>
          </w:p>
        </w:tc>
        <w:tc>
          <w:tcPr>
            <w:tcW w:w="3421" w:type="dxa"/>
            <w:vMerge w:val="continue"/>
            <w:tcBorders>
              <w:tl2br w:val="nil"/>
              <w:tr2bl w:val="nil"/>
            </w:tcBorders>
            <w:shd w:val="clear" w:color="auto" w:fill="auto"/>
            <w:vAlign w:val="center"/>
          </w:tcPr>
          <w:p w14:paraId="02A30F39">
            <w:pPr>
              <w:rPr>
                <w:rFonts w:eastAsia="方正仿宋_GBK"/>
                <w:sz w:val="22"/>
              </w:rPr>
            </w:pPr>
          </w:p>
        </w:tc>
      </w:tr>
    </w:tbl>
    <w:p w14:paraId="3E2B3D60">
      <w:pPr>
        <w:pStyle w:val="2"/>
        <w:spacing w:beforeAutospacing="0" w:afterAutospacing="0"/>
        <w:rPr>
          <w:rFonts w:ascii="Times New Roman" w:hAnsi="Times New Roman" w:eastAsia="方正仿宋_GBK"/>
          <w:b w:val="0"/>
          <w:sz w:val="22"/>
          <w:szCs w:val="24"/>
        </w:rPr>
      </w:pPr>
      <w:bookmarkStart w:id="81" w:name="_Toc30267"/>
    </w:p>
    <w:p w14:paraId="13BECC26">
      <w:pPr>
        <w:pStyle w:val="2"/>
        <w:spacing w:beforeAutospacing="0" w:afterAutospacing="0"/>
        <w:ind w:firstLine="560" w:firstLineChars="200"/>
        <w:rPr>
          <w:rFonts w:ascii="Times New Roman" w:hAnsi="Times New Roman" w:eastAsia="方正仿宋_GBK"/>
          <w:b w:val="0"/>
          <w:sz w:val="28"/>
          <w:szCs w:val="28"/>
        </w:rPr>
      </w:pPr>
      <w:r>
        <w:rPr>
          <w:rFonts w:ascii="Times New Roman" w:hAnsi="Times New Roman" w:eastAsia="方正仿宋_GBK"/>
          <w:b w:val="0"/>
          <w:sz w:val="28"/>
          <w:szCs w:val="28"/>
        </w:rPr>
        <w:t>3</w:t>
      </w:r>
      <w:r>
        <w:rPr>
          <w:rFonts w:hint="eastAsia" w:ascii="Times New Roman" w:hAnsi="Times New Roman" w:eastAsia="方正仿宋_GBK"/>
          <w:b w:val="0"/>
          <w:sz w:val="28"/>
          <w:szCs w:val="28"/>
        </w:rPr>
        <w:t>.</w:t>
      </w:r>
      <w:r>
        <w:rPr>
          <w:rFonts w:ascii="Times New Roman" w:hAnsi="Times New Roman" w:eastAsia="方正仿宋_GBK"/>
          <w:b w:val="0"/>
          <w:sz w:val="28"/>
          <w:szCs w:val="28"/>
        </w:rPr>
        <w:t>公共卫生事件</w:t>
      </w:r>
    </w:p>
    <w:tbl>
      <w:tblPr>
        <w:tblStyle w:val="9"/>
        <w:tblW w:w="896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28"/>
        <w:gridCol w:w="2509"/>
        <w:gridCol w:w="3635"/>
      </w:tblGrid>
      <w:tr w14:paraId="6344A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697" w:type="dxa"/>
            <w:tcBorders>
              <w:tl2br w:val="nil"/>
              <w:tr2bl w:val="nil"/>
            </w:tcBorders>
            <w:shd w:val="clear" w:color="auto" w:fill="auto"/>
            <w:vAlign w:val="center"/>
          </w:tcPr>
          <w:p w14:paraId="2A994D3C">
            <w:pPr>
              <w:autoSpaceDE w:val="0"/>
              <w:adjustRightInd w:val="0"/>
              <w:spacing w:beforeAutospacing="1" w:afterAutospacing="1" w:line="300" w:lineRule="exact"/>
              <w:jc w:val="center"/>
              <w:textAlignment w:val="baseline"/>
              <w:outlineLvl w:val="1"/>
              <w:rPr>
                <w:rFonts w:ascii="方正黑体_GBK" w:eastAsia="方正黑体_GBK"/>
                <w:bCs/>
                <w:sz w:val="22"/>
              </w:rPr>
            </w:pPr>
            <w:bookmarkStart w:id="82" w:name="_Toc20194"/>
            <w:r>
              <w:rPr>
                <w:rFonts w:hint="eastAsia" w:ascii="方正黑体_GBK" w:eastAsia="方正黑体_GBK"/>
                <w:bCs/>
                <w:color w:val="000000"/>
                <w:sz w:val="22"/>
              </w:rPr>
              <w:t>序号</w:t>
            </w:r>
            <w:bookmarkEnd w:id="82"/>
          </w:p>
        </w:tc>
        <w:tc>
          <w:tcPr>
            <w:tcW w:w="2128" w:type="dxa"/>
            <w:tcBorders>
              <w:tl2br w:val="nil"/>
              <w:tr2bl w:val="nil"/>
            </w:tcBorders>
            <w:shd w:val="clear" w:color="auto" w:fill="auto"/>
            <w:vAlign w:val="center"/>
          </w:tcPr>
          <w:p w14:paraId="062480A8">
            <w:pPr>
              <w:autoSpaceDE w:val="0"/>
              <w:adjustRightInd w:val="0"/>
              <w:spacing w:beforeAutospacing="1" w:afterAutospacing="1" w:line="300" w:lineRule="exact"/>
              <w:jc w:val="center"/>
              <w:textAlignment w:val="baseline"/>
              <w:outlineLvl w:val="1"/>
              <w:rPr>
                <w:rFonts w:ascii="方正黑体_GBK" w:eastAsia="方正黑体_GBK"/>
                <w:bCs/>
                <w:sz w:val="22"/>
              </w:rPr>
            </w:pPr>
            <w:bookmarkStart w:id="83" w:name="_Toc5869"/>
            <w:r>
              <w:rPr>
                <w:rFonts w:hint="eastAsia" w:ascii="方正黑体_GBK" w:eastAsia="方正黑体_GBK"/>
                <w:bCs/>
                <w:color w:val="000000"/>
                <w:sz w:val="22"/>
              </w:rPr>
              <w:t>事件类别</w:t>
            </w:r>
            <w:bookmarkEnd w:id="83"/>
          </w:p>
        </w:tc>
        <w:tc>
          <w:tcPr>
            <w:tcW w:w="2509" w:type="dxa"/>
            <w:tcBorders>
              <w:tl2br w:val="nil"/>
              <w:tr2bl w:val="nil"/>
            </w:tcBorders>
            <w:shd w:val="clear" w:color="auto" w:fill="auto"/>
            <w:vAlign w:val="center"/>
          </w:tcPr>
          <w:p w14:paraId="222A9034">
            <w:pPr>
              <w:autoSpaceDE w:val="0"/>
              <w:adjustRightInd w:val="0"/>
              <w:spacing w:beforeAutospacing="1" w:afterAutospacing="1" w:line="300" w:lineRule="exact"/>
              <w:jc w:val="center"/>
              <w:textAlignment w:val="baseline"/>
              <w:outlineLvl w:val="1"/>
              <w:rPr>
                <w:rFonts w:ascii="方正黑体_GBK" w:eastAsia="方正黑体_GBK"/>
                <w:bCs/>
                <w:sz w:val="22"/>
              </w:rPr>
            </w:pPr>
            <w:bookmarkStart w:id="84" w:name="_Toc23933"/>
            <w:r>
              <w:rPr>
                <w:rFonts w:hint="eastAsia" w:ascii="方正黑体_GBK" w:eastAsia="方正黑体_GBK"/>
                <w:bCs/>
                <w:color w:val="000000"/>
                <w:sz w:val="22"/>
              </w:rPr>
              <w:t>主要牵头部门</w:t>
            </w:r>
            <w:bookmarkEnd w:id="84"/>
          </w:p>
        </w:tc>
        <w:tc>
          <w:tcPr>
            <w:tcW w:w="3635" w:type="dxa"/>
            <w:tcBorders>
              <w:tl2br w:val="nil"/>
              <w:tr2bl w:val="nil"/>
            </w:tcBorders>
            <w:shd w:val="clear" w:color="auto" w:fill="auto"/>
            <w:vAlign w:val="center"/>
          </w:tcPr>
          <w:p w14:paraId="30F63F8D">
            <w:pPr>
              <w:autoSpaceDE w:val="0"/>
              <w:adjustRightInd w:val="0"/>
              <w:spacing w:beforeAutospacing="1" w:afterAutospacing="1" w:line="300" w:lineRule="exact"/>
              <w:jc w:val="center"/>
              <w:textAlignment w:val="baseline"/>
              <w:outlineLvl w:val="1"/>
              <w:rPr>
                <w:rFonts w:ascii="方正黑体_GBK" w:eastAsia="方正黑体_GBK"/>
                <w:bCs/>
                <w:sz w:val="22"/>
              </w:rPr>
            </w:pPr>
            <w:bookmarkStart w:id="85" w:name="_Toc12146"/>
            <w:r>
              <w:rPr>
                <w:rFonts w:hint="eastAsia" w:ascii="方正黑体_GBK" w:eastAsia="方正黑体_GBK"/>
                <w:bCs/>
                <w:color w:val="000000"/>
                <w:sz w:val="22"/>
              </w:rPr>
              <w:t>专项指挥机构</w:t>
            </w:r>
            <w:bookmarkEnd w:id="85"/>
          </w:p>
        </w:tc>
      </w:tr>
      <w:tr w14:paraId="730C3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697" w:type="dxa"/>
            <w:tcBorders>
              <w:tl2br w:val="nil"/>
              <w:tr2bl w:val="nil"/>
            </w:tcBorders>
            <w:shd w:val="clear" w:color="auto" w:fill="auto"/>
            <w:vAlign w:val="center"/>
          </w:tcPr>
          <w:p w14:paraId="6C0C4243">
            <w:pPr>
              <w:autoSpaceDE w:val="0"/>
              <w:adjustRightInd w:val="0"/>
              <w:spacing w:beforeAutospacing="1" w:afterAutospacing="1" w:line="300" w:lineRule="exact"/>
              <w:jc w:val="center"/>
              <w:textAlignment w:val="baseline"/>
              <w:outlineLvl w:val="1"/>
              <w:rPr>
                <w:rFonts w:eastAsia="方正仿宋_GBK"/>
                <w:sz w:val="22"/>
              </w:rPr>
            </w:pPr>
            <w:bookmarkStart w:id="86" w:name="_Toc28930"/>
            <w:r>
              <w:rPr>
                <w:rFonts w:eastAsia="方正仿宋_GBK"/>
                <w:color w:val="000000"/>
                <w:sz w:val="22"/>
              </w:rPr>
              <w:t>1</w:t>
            </w:r>
            <w:bookmarkEnd w:id="86"/>
          </w:p>
        </w:tc>
        <w:tc>
          <w:tcPr>
            <w:tcW w:w="2128" w:type="dxa"/>
            <w:tcBorders>
              <w:tl2br w:val="nil"/>
              <w:tr2bl w:val="nil"/>
            </w:tcBorders>
            <w:shd w:val="clear" w:color="auto" w:fill="auto"/>
            <w:vAlign w:val="center"/>
          </w:tcPr>
          <w:p w14:paraId="42F2A560">
            <w:pPr>
              <w:autoSpaceDE w:val="0"/>
              <w:adjustRightInd w:val="0"/>
              <w:spacing w:beforeAutospacing="1" w:afterAutospacing="1" w:line="300" w:lineRule="exact"/>
              <w:jc w:val="center"/>
              <w:textAlignment w:val="baseline"/>
              <w:outlineLvl w:val="1"/>
              <w:rPr>
                <w:rFonts w:eastAsia="方正仿宋_GBK"/>
                <w:sz w:val="22"/>
              </w:rPr>
            </w:pPr>
            <w:bookmarkStart w:id="87" w:name="_Toc13394"/>
            <w:r>
              <w:rPr>
                <w:rFonts w:eastAsia="方正仿宋_GBK"/>
                <w:color w:val="000000"/>
                <w:sz w:val="22"/>
              </w:rPr>
              <w:t>传染病疫情</w:t>
            </w:r>
            <w:bookmarkEnd w:id="87"/>
          </w:p>
        </w:tc>
        <w:tc>
          <w:tcPr>
            <w:tcW w:w="2509" w:type="dxa"/>
            <w:vMerge w:val="restart"/>
            <w:tcBorders>
              <w:tl2br w:val="nil"/>
              <w:tr2bl w:val="nil"/>
            </w:tcBorders>
            <w:shd w:val="clear" w:color="auto" w:fill="auto"/>
            <w:vAlign w:val="center"/>
          </w:tcPr>
          <w:p w14:paraId="7D6E0FCE">
            <w:pPr>
              <w:autoSpaceDE w:val="0"/>
              <w:adjustRightInd w:val="0"/>
              <w:spacing w:beforeAutospacing="1" w:afterAutospacing="1" w:line="300" w:lineRule="exact"/>
              <w:jc w:val="center"/>
              <w:textAlignment w:val="baseline"/>
              <w:outlineLvl w:val="1"/>
              <w:rPr>
                <w:rFonts w:eastAsia="方正仿宋_GBK"/>
                <w:sz w:val="22"/>
              </w:rPr>
            </w:pPr>
            <w:bookmarkStart w:id="88" w:name="_Toc20510"/>
            <w:r>
              <w:rPr>
                <w:rFonts w:eastAsia="方正仿宋_GBK"/>
                <w:color w:val="000000"/>
                <w:sz w:val="22"/>
              </w:rPr>
              <w:t>市卫健</w:t>
            </w:r>
            <w:bookmarkEnd w:id="88"/>
            <w:r>
              <w:rPr>
                <w:rFonts w:eastAsia="方正仿宋_GBK"/>
                <w:color w:val="000000"/>
                <w:sz w:val="22"/>
              </w:rPr>
              <w:t>局</w:t>
            </w:r>
          </w:p>
        </w:tc>
        <w:tc>
          <w:tcPr>
            <w:tcW w:w="3635" w:type="dxa"/>
            <w:vMerge w:val="restart"/>
            <w:tcBorders>
              <w:tl2br w:val="nil"/>
              <w:tr2bl w:val="nil"/>
            </w:tcBorders>
            <w:shd w:val="clear" w:color="auto" w:fill="auto"/>
            <w:vAlign w:val="center"/>
          </w:tcPr>
          <w:p w14:paraId="05527C84">
            <w:pPr>
              <w:autoSpaceDE w:val="0"/>
              <w:adjustRightInd w:val="0"/>
              <w:spacing w:beforeAutospacing="1" w:afterAutospacing="1" w:line="300" w:lineRule="exact"/>
              <w:jc w:val="center"/>
              <w:textAlignment w:val="baseline"/>
              <w:outlineLvl w:val="1"/>
              <w:rPr>
                <w:rFonts w:eastAsia="方正仿宋_GBK"/>
                <w:sz w:val="22"/>
              </w:rPr>
            </w:pPr>
            <w:bookmarkStart w:id="89" w:name="_Toc10657"/>
            <w:r>
              <w:rPr>
                <w:rFonts w:eastAsia="方正仿宋_GBK"/>
                <w:color w:val="000000"/>
                <w:sz w:val="22"/>
              </w:rPr>
              <w:t>市公共卫生事件应急指挥部</w:t>
            </w:r>
            <w:bookmarkEnd w:id="89"/>
          </w:p>
        </w:tc>
      </w:tr>
      <w:tr w14:paraId="2B0267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697" w:type="dxa"/>
            <w:tcBorders>
              <w:tl2br w:val="nil"/>
              <w:tr2bl w:val="nil"/>
            </w:tcBorders>
            <w:shd w:val="clear" w:color="auto" w:fill="auto"/>
            <w:vAlign w:val="center"/>
          </w:tcPr>
          <w:p w14:paraId="16EDA7B0">
            <w:pPr>
              <w:autoSpaceDE w:val="0"/>
              <w:adjustRightInd w:val="0"/>
              <w:spacing w:beforeAutospacing="1" w:afterAutospacing="1" w:line="300" w:lineRule="exact"/>
              <w:jc w:val="center"/>
              <w:textAlignment w:val="baseline"/>
              <w:outlineLvl w:val="1"/>
              <w:rPr>
                <w:rFonts w:eastAsia="方正仿宋_GBK"/>
                <w:sz w:val="22"/>
              </w:rPr>
            </w:pPr>
            <w:bookmarkStart w:id="90" w:name="_Toc25437"/>
            <w:r>
              <w:rPr>
                <w:rFonts w:eastAsia="方正仿宋_GBK"/>
                <w:color w:val="000000"/>
                <w:sz w:val="22"/>
              </w:rPr>
              <w:t>2</w:t>
            </w:r>
            <w:bookmarkEnd w:id="90"/>
          </w:p>
        </w:tc>
        <w:tc>
          <w:tcPr>
            <w:tcW w:w="2128" w:type="dxa"/>
            <w:tcBorders>
              <w:tl2br w:val="nil"/>
              <w:tr2bl w:val="nil"/>
            </w:tcBorders>
            <w:shd w:val="clear" w:color="auto" w:fill="auto"/>
            <w:vAlign w:val="center"/>
          </w:tcPr>
          <w:p w14:paraId="34A6F813">
            <w:pPr>
              <w:autoSpaceDE w:val="0"/>
              <w:adjustRightInd w:val="0"/>
              <w:spacing w:beforeAutospacing="1" w:afterAutospacing="1" w:line="300" w:lineRule="exact"/>
              <w:jc w:val="center"/>
              <w:textAlignment w:val="baseline"/>
              <w:outlineLvl w:val="1"/>
              <w:rPr>
                <w:rFonts w:eastAsia="方正仿宋_GBK"/>
                <w:sz w:val="22"/>
              </w:rPr>
            </w:pPr>
            <w:bookmarkStart w:id="91" w:name="_Toc12724"/>
            <w:r>
              <w:rPr>
                <w:rFonts w:eastAsia="方正仿宋_GBK"/>
                <w:color w:val="000000"/>
                <w:sz w:val="22"/>
              </w:rPr>
              <w:t>群体性不明原因疾病</w:t>
            </w:r>
            <w:bookmarkEnd w:id="91"/>
          </w:p>
        </w:tc>
        <w:tc>
          <w:tcPr>
            <w:tcW w:w="2509" w:type="dxa"/>
            <w:vMerge w:val="continue"/>
            <w:tcBorders>
              <w:tl2br w:val="nil"/>
              <w:tr2bl w:val="nil"/>
            </w:tcBorders>
            <w:shd w:val="clear" w:color="auto" w:fill="auto"/>
            <w:vAlign w:val="center"/>
          </w:tcPr>
          <w:p w14:paraId="0E77FD65">
            <w:pPr>
              <w:rPr>
                <w:rFonts w:eastAsia="方正仿宋_GBK"/>
                <w:sz w:val="22"/>
              </w:rPr>
            </w:pPr>
          </w:p>
        </w:tc>
        <w:tc>
          <w:tcPr>
            <w:tcW w:w="3635" w:type="dxa"/>
            <w:vMerge w:val="continue"/>
            <w:tcBorders>
              <w:tl2br w:val="nil"/>
              <w:tr2bl w:val="nil"/>
            </w:tcBorders>
            <w:shd w:val="clear" w:color="auto" w:fill="auto"/>
            <w:vAlign w:val="center"/>
          </w:tcPr>
          <w:p w14:paraId="20E3B772">
            <w:pPr>
              <w:rPr>
                <w:rFonts w:eastAsia="方正仿宋_GBK"/>
                <w:sz w:val="22"/>
              </w:rPr>
            </w:pPr>
          </w:p>
        </w:tc>
      </w:tr>
      <w:tr w14:paraId="37A5F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697" w:type="dxa"/>
            <w:tcBorders>
              <w:tl2br w:val="nil"/>
              <w:tr2bl w:val="nil"/>
            </w:tcBorders>
            <w:shd w:val="clear" w:color="auto" w:fill="auto"/>
            <w:vAlign w:val="center"/>
          </w:tcPr>
          <w:p w14:paraId="4FE1016F">
            <w:pPr>
              <w:autoSpaceDE w:val="0"/>
              <w:adjustRightInd w:val="0"/>
              <w:spacing w:beforeAutospacing="1" w:afterAutospacing="1" w:line="300" w:lineRule="exact"/>
              <w:jc w:val="center"/>
              <w:textAlignment w:val="baseline"/>
              <w:outlineLvl w:val="1"/>
              <w:rPr>
                <w:rFonts w:eastAsia="方正仿宋_GBK"/>
                <w:color w:val="000000"/>
                <w:sz w:val="22"/>
              </w:rPr>
            </w:pPr>
          </w:p>
        </w:tc>
        <w:tc>
          <w:tcPr>
            <w:tcW w:w="2128" w:type="dxa"/>
            <w:tcBorders>
              <w:tl2br w:val="nil"/>
              <w:tr2bl w:val="nil"/>
            </w:tcBorders>
            <w:shd w:val="clear" w:color="auto" w:fill="auto"/>
            <w:vAlign w:val="center"/>
          </w:tcPr>
          <w:p w14:paraId="2A39E859">
            <w:pPr>
              <w:autoSpaceDE w:val="0"/>
              <w:adjustRightInd w:val="0"/>
              <w:spacing w:beforeAutospacing="1" w:afterAutospacing="1" w:line="300" w:lineRule="exact"/>
              <w:jc w:val="center"/>
              <w:textAlignment w:val="baseline"/>
              <w:outlineLvl w:val="1"/>
              <w:rPr>
                <w:rFonts w:eastAsia="方正仿宋_GBK"/>
                <w:color w:val="000000"/>
                <w:sz w:val="22"/>
              </w:rPr>
            </w:pPr>
            <w:r>
              <w:rPr>
                <w:rFonts w:eastAsia="方正仿宋_GBK"/>
                <w:color w:val="000000"/>
                <w:sz w:val="22"/>
              </w:rPr>
              <w:t>急性中毒事件</w:t>
            </w:r>
          </w:p>
        </w:tc>
        <w:tc>
          <w:tcPr>
            <w:tcW w:w="2509" w:type="dxa"/>
            <w:vMerge w:val="continue"/>
            <w:tcBorders>
              <w:tl2br w:val="nil"/>
              <w:tr2bl w:val="nil"/>
            </w:tcBorders>
            <w:shd w:val="clear" w:color="auto" w:fill="auto"/>
            <w:vAlign w:val="center"/>
          </w:tcPr>
          <w:p w14:paraId="667FA36E">
            <w:pPr>
              <w:rPr>
                <w:rFonts w:eastAsia="方正仿宋_GBK"/>
                <w:sz w:val="22"/>
              </w:rPr>
            </w:pPr>
          </w:p>
        </w:tc>
        <w:tc>
          <w:tcPr>
            <w:tcW w:w="3635" w:type="dxa"/>
            <w:vMerge w:val="continue"/>
            <w:tcBorders>
              <w:tl2br w:val="nil"/>
              <w:tr2bl w:val="nil"/>
            </w:tcBorders>
            <w:shd w:val="clear" w:color="auto" w:fill="auto"/>
            <w:vAlign w:val="center"/>
          </w:tcPr>
          <w:p w14:paraId="15253CD5">
            <w:pPr>
              <w:rPr>
                <w:rFonts w:eastAsia="方正仿宋_GBK"/>
                <w:sz w:val="22"/>
              </w:rPr>
            </w:pPr>
          </w:p>
        </w:tc>
      </w:tr>
      <w:tr w14:paraId="02352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697" w:type="dxa"/>
            <w:tcBorders>
              <w:tl2br w:val="nil"/>
              <w:tr2bl w:val="nil"/>
            </w:tcBorders>
            <w:shd w:val="clear" w:color="auto" w:fill="auto"/>
            <w:vAlign w:val="center"/>
          </w:tcPr>
          <w:p w14:paraId="7B740030">
            <w:pPr>
              <w:autoSpaceDE w:val="0"/>
              <w:adjustRightInd w:val="0"/>
              <w:spacing w:beforeAutospacing="1" w:afterAutospacing="1" w:line="300" w:lineRule="exact"/>
              <w:jc w:val="center"/>
              <w:textAlignment w:val="baseline"/>
              <w:outlineLvl w:val="1"/>
              <w:rPr>
                <w:rFonts w:eastAsia="方正仿宋_GBK"/>
                <w:sz w:val="22"/>
              </w:rPr>
            </w:pPr>
            <w:r>
              <w:rPr>
                <w:rFonts w:eastAsia="方正仿宋_GBK"/>
                <w:color w:val="000000"/>
                <w:sz w:val="22"/>
              </w:rPr>
              <w:t>3</w:t>
            </w:r>
          </w:p>
        </w:tc>
        <w:tc>
          <w:tcPr>
            <w:tcW w:w="2128" w:type="dxa"/>
            <w:tcBorders>
              <w:tl2br w:val="nil"/>
              <w:tr2bl w:val="nil"/>
            </w:tcBorders>
            <w:shd w:val="clear" w:color="auto" w:fill="auto"/>
            <w:vAlign w:val="center"/>
          </w:tcPr>
          <w:p w14:paraId="4AE43A63">
            <w:pPr>
              <w:autoSpaceDE w:val="0"/>
              <w:adjustRightInd w:val="0"/>
              <w:spacing w:beforeAutospacing="1" w:afterAutospacing="1" w:line="300" w:lineRule="exact"/>
              <w:jc w:val="center"/>
              <w:textAlignment w:val="baseline"/>
              <w:outlineLvl w:val="1"/>
              <w:rPr>
                <w:rFonts w:eastAsia="方正仿宋_GBK"/>
                <w:sz w:val="22"/>
              </w:rPr>
            </w:pPr>
            <w:bookmarkStart w:id="92" w:name="_Toc22266"/>
            <w:r>
              <w:rPr>
                <w:rFonts w:eastAsia="方正仿宋_GBK"/>
                <w:color w:val="000000"/>
                <w:sz w:val="22"/>
              </w:rPr>
              <w:t>食品安全事件</w:t>
            </w:r>
            <w:bookmarkEnd w:id="92"/>
          </w:p>
        </w:tc>
        <w:tc>
          <w:tcPr>
            <w:tcW w:w="2509" w:type="dxa"/>
            <w:vMerge w:val="restart"/>
            <w:tcBorders>
              <w:tl2br w:val="nil"/>
              <w:tr2bl w:val="nil"/>
            </w:tcBorders>
            <w:shd w:val="clear" w:color="auto" w:fill="auto"/>
            <w:vAlign w:val="center"/>
          </w:tcPr>
          <w:p w14:paraId="08BE8483">
            <w:pPr>
              <w:autoSpaceDE w:val="0"/>
              <w:adjustRightInd w:val="0"/>
              <w:spacing w:beforeAutospacing="1" w:afterAutospacing="1" w:line="300" w:lineRule="exact"/>
              <w:jc w:val="center"/>
              <w:textAlignment w:val="baseline"/>
              <w:outlineLvl w:val="1"/>
              <w:rPr>
                <w:rFonts w:eastAsia="方正仿宋_GBK"/>
                <w:sz w:val="22"/>
              </w:rPr>
            </w:pPr>
            <w:bookmarkStart w:id="93" w:name="_Toc10166"/>
            <w:r>
              <w:rPr>
                <w:rFonts w:eastAsia="方正仿宋_GBK"/>
                <w:color w:val="000000"/>
                <w:sz w:val="22"/>
              </w:rPr>
              <w:t>市市监局</w:t>
            </w:r>
            <w:bookmarkEnd w:id="93"/>
          </w:p>
        </w:tc>
        <w:tc>
          <w:tcPr>
            <w:tcW w:w="3635" w:type="dxa"/>
            <w:tcBorders>
              <w:tl2br w:val="nil"/>
              <w:tr2bl w:val="nil"/>
            </w:tcBorders>
            <w:shd w:val="clear" w:color="auto" w:fill="auto"/>
            <w:vAlign w:val="center"/>
          </w:tcPr>
          <w:p w14:paraId="1EE3589D">
            <w:pPr>
              <w:autoSpaceDE w:val="0"/>
              <w:adjustRightInd w:val="0"/>
              <w:spacing w:beforeAutospacing="1" w:afterAutospacing="1" w:line="300" w:lineRule="exact"/>
              <w:jc w:val="center"/>
              <w:textAlignment w:val="baseline"/>
              <w:outlineLvl w:val="1"/>
              <w:rPr>
                <w:rFonts w:eastAsia="方正仿宋_GBK"/>
                <w:sz w:val="22"/>
              </w:rPr>
            </w:pPr>
            <w:bookmarkStart w:id="94" w:name="_Toc17371"/>
            <w:r>
              <w:rPr>
                <w:rFonts w:eastAsia="方正仿宋_GBK"/>
                <w:color w:val="000000"/>
                <w:sz w:val="22"/>
              </w:rPr>
              <w:t>市食品安全事件应急指挥部</w:t>
            </w:r>
            <w:bookmarkEnd w:id="94"/>
          </w:p>
        </w:tc>
      </w:tr>
      <w:tr w14:paraId="58E5F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697" w:type="dxa"/>
            <w:tcBorders>
              <w:tl2br w:val="nil"/>
              <w:tr2bl w:val="nil"/>
            </w:tcBorders>
            <w:shd w:val="clear" w:color="auto" w:fill="auto"/>
            <w:vAlign w:val="center"/>
          </w:tcPr>
          <w:p w14:paraId="06E0C75F">
            <w:pPr>
              <w:autoSpaceDE w:val="0"/>
              <w:adjustRightInd w:val="0"/>
              <w:spacing w:beforeAutospacing="1" w:afterAutospacing="1" w:line="300" w:lineRule="exact"/>
              <w:jc w:val="center"/>
              <w:textAlignment w:val="baseline"/>
              <w:outlineLvl w:val="1"/>
              <w:rPr>
                <w:rFonts w:eastAsia="方正仿宋_GBK"/>
                <w:sz w:val="22"/>
              </w:rPr>
            </w:pPr>
            <w:r>
              <w:rPr>
                <w:rFonts w:eastAsia="方正仿宋_GBK"/>
                <w:color w:val="000000"/>
                <w:sz w:val="22"/>
              </w:rPr>
              <w:t>4</w:t>
            </w:r>
          </w:p>
        </w:tc>
        <w:tc>
          <w:tcPr>
            <w:tcW w:w="2128" w:type="dxa"/>
            <w:tcBorders>
              <w:tl2br w:val="nil"/>
              <w:tr2bl w:val="nil"/>
            </w:tcBorders>
            <w:shd w:val="clear" w:color="auto" w:fill="auto"/>
            <w:vAlign w:val="center"/>
          </w:tcPr>
          <w:p w14:paraId="2D483DB1">
            <w:pPr>
              <w:autoSpaceDE w:val="0"/>
              <w:adjustRightInd w:val="0"/>
              <w:spacing w:beforeAutospacing="1" w:afterAutospacing="1" w:line="300" w:lineRule="exact"/>
              <w:jc w:val="center"/>
              <w:textAlignment w:val="baseline"/>
              <w:outlineLvl w:val="1"/>
              <w:rPr>
                <w:rFonts w:eastAsia="方正仿宋_GBK"/>
                <w:sz w:val="22"/>
              </w:rPr>
            </w:pPr>
            <w:bookmarkStart w:id="95" w:name="_Toc29391"/>
            <w:r>
              <w:rPr>
                <w:rFonts w:eastAsia="方正仿宋_GBK"/>
                <w:color w:val="000000"/>
                <w:sz w:val="22"/>
              </w:rPr>
              <w:t>药品安全事件</w:t>
            </w:r>
            <w:bookmarkEnd w:id="95"/>
          </w:p>
        </w:tc>
        <w:tc>
          <w:tcPr>
            <w:tcW w:w="2509" w:type="dxa"/>
            <w:vMerge w:val="continue"/>
            <w:tcBorders>
              <w:tl2br w:val="nil"/>
              <w:tr2bl w:val="nil"/>
            </w:tcBorders>
            <w:shd w:val="clear" w:color="auto" w:fill="auto"/>
            <w:vAlign w:val="center"/>
          </w:tcPr>
          <w:p w14:paraId="2E9C740B">
            <w:pPr>
              <w:rPr>
                <w:rFonts w:eastAsia="方正仿宋_GBK"/>
                <w:sz w:val="22"/>
              </w:rPr>
            </w:pPr>
          </w:p>
        </w:tc>
        <w:tc>
          <w:tcPr>
            <w:tcW w:w="3635" w:type="dxa"/>
            <w:tcBorders>
              <w:tl2br w:val="nil"/>
              <w:tr2bl w:val="nil"/>
            </w:tcBorders>
            <w:shd w:val="clear" w:color="auto" w:fill="auto"/>
            <w:vAlign w:val="center"/>
          </w:tcPr>
          <w:p w14:paraId="5EF4E7F4">
            <w:pPr>
              <w:autoSpaceDE w:val="0"/>
              <w:adjustRightInd w:val="0"/>
              <w:spacing w:beforeAutospacing="1" w:afterAutospacing="1" w:line="300" w:lineRule="exact"/>
              <w:jc w:val="center"/>
              <w:textAlignment w:val="baseline"/>
              <w:outlineLvl w:val="1"/>
              <w:rPr>
                <w:rFonts w:eastAsia="方正仿宋_GBK"/>
                <w:sz w:val="22"/>
              </w:rPr>
            </w:pPr>
            <w:bookmarkStart w:id="96" w:name="_Toc14361"/>
            <w:r>
              <w:rPr>
                <w:rFonts w:eastAsia="方正仿宋_GBK"/>
                <w:color w:val="000000"/>
                <w:sz w:val="22"/>
              </w:rPr>
              <w:t>市药品安全事件应急指挥部</w:t>
            </w:r>
            <w:bookmarkEnd w:id="96"/>
          </w:p>
        </w:tc>
      </w:tr>
      <w:tr w14:paraId="0409F5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697" w:type="dxa"/>
            <w:tcBorders>
              <w:tl2br w:val="nil"/>
              <w:tr2bl w:val="nil"/>
            </w:tcBorders>
            <w:shd w:val="clear" w:color="auto" w:fill="auto"/>
            <w:vAlign w:val="center"/>
          </w:tcPr>
          <w:p w14:paraId="1B986DFB">
            <w:pPr>
              <w:autoSpaceDE w:val="0"/>
              <w:adjustRightInd w:val="0"/>
              <w:spacing w:beforeAutospacing="1" w:afterAutospacing="1" w:line="300" w:lineRule="exact"/>
              <w:jc w:val="center"/>
              <w:textAlignment w:val="baseline"/>
              <w:outlineLvl w:val="1"/>
              <w:rPr>
                <w:rFonts w:eastAsia="方正仿宋_GBK"/>
                <w:sz w:val="22"/>
              </w:rPr>
            </w:pPr>
            <w:r>
              <w:rPr>
                <w:rFonts w:eastAsia="方正仿宋_GBK"/>
                <w:color w:val="000000"/>
                <w:sz w:val="22"/>
              </w:rPr>
              <w:t>5</w:t>
            </w:r>
          </w:p>
        </w:tc>
        <w:tc>
          <w:tcPr>
            <w:tcW w:w="2128" w:type="dxa"/>
            <w:tcBorders>
              <w:tl2br w:val="nil"/>
              <w:tr2bl w:val="nil"/>
            </w:tcBorders>
            <w:shd w:val="clear" w:color="auto" w:fill="auto"/>
            <w:vAlign w:val="center"/>
          </w:tcPr>
          <w:p w14:paraId="7E9A5120">
            <w:pPr>
              <w:autoSpaceDE w:val="0"/>
              <w:adjustRightInd w:val="0"/>
              <w:spacing w:beforeAutospacing="1" w:afterAutospacing="1" w:line="300" w:lineRule="exact"/>
              <w:jc w:val="center"/>
              <w:textAlignment w:val="baseline"/>
              <w:outlineLvl w:val="1"/>
              <w:rPr>
                <w:rFonts w:eastAsia="方正仿宋_GBK"/>
                <w:sz w:val="22"/>
              </w:rPr>
            </w:pPr>
            <w:bookmarkStart w:id="97" w:name="_Toc5654"/>
            <w:r>
              <w:rPr>
                <w:rFonts w:eastAsia="方正仿宋_GBK"/>
                <w:color w:val="000000"/>
                <w:sz w:val="22"/>
              </w:rPr>
              <w:t>疫苗安全事件</w:t>
            </w:r>
            <w:bookmarkEnd w:id="97"/>
          </w:p>
        </w:tc>
        <w:tc>
          <w:tcPr>
            <w:tcW w:w="2509" w:type="dxa"/>
            <w:vMerge w:val="continue"/>
            <w:tcBorders>
              <w:tl2br w:val="nil"/>
              <w:tr2bl w:val="nil"/>
            </w:tcBorders>
            <w:shd w:val="clear" w:color="auto" w:fill="auto"/>
            <w:vAlign w:val="center"/>
          </w:tcPr>
          <w:p w14:paraId="27BECFEB">
            <w:pPr>
              <w:rPr>
                <w:rFonts w:eastAsia="方正仿宋_GBK"/>
                <w:sz w:val="22"/>
              </w:rPr>
            </w:pPr>
          </w:p>
        </w:tc>
        <w:tc>
          <w:tcPr>
            <w:tcW w:w="3635" w:type="dxa"/>
            <w:tcBorders>
              <w:tl2br w:val="nil"/>
              <w:tr2bl w:val="nil"/>
            </w:tcBorders>
            <w:shd w:val="clear" w:color="auto" w:fill="auto"/>
            <w:vAlign w:val="center"/>
          </w:tcPr>
          <w:p w14:paraId="78F37494">
            <w:pPr>
              <w:autoSpaceDE w:val="0"/>
              <w:adjustRightInd w:val="0"/>
              <w:spacing w:beforeAutospacing="1" w:afterAutospacing="1" w:line="300" w:lineRule="exact"/>
              <w:jc w:val="center"/>
              <w:textAlignment w:val="baseline"/>
              <w:outlineLvl w:val="1"/>
              <w:rPr>
                <w:rFonts w:eastAsia="方正仿宋_GBK"/>
                <w:sz w:val="22"/>
              </w:rPr>
            </w:pPr>
            <w:bookmarkStart w:id="98" w:name="_Toc20964"/>
            <w:r>
              <w:rPr>
                <w:rFonts w:eastAsia="方正仿宋_GBK"/>
                <w:color w:val="000000"/>
                <w:sz w:val="22"/>
              </w:rPr>
              <w:t>市疫苗质量安全事件应急指挥部</w:t>
            </w:r>
            <w:bookmarkEnd w:id="98"/>
          </w:p>
        </w:tc>
      </w:tr>
      <w:tr w14:paraId="030C8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697" w:type="dxa"/>
            <w:vMerge w:val="restart"/>
            <w:tcBorders>
              <w:tl2br w:val="nil"/>
              <w:tr2bl w:val="nil"/>
            </w:tcBorders>
            <w:shd w:val="clear" w:color="auto" w:fill="auto"/>
            <w:vAlign w:val="center"/>
          </w:tcPr>
          <w:p w14:paraId="7E08F415">
            <w:pPr>
              <w:autoSpaceDE w:val="0"/>
              <w:adjustRightInd w:val="0"/>
              <w:spacing w:beforeAutospacing="1" w:afterAutospacing="1" w:line="300" w:lineRule="exact"/>
              <w:jc w:val="center"/>
              <w:textAlignment w:val="baseline"/>
              <w:outlineLvl w:val="1"/>
              <w:rPr>
                <w:rFonts w:eastAsia="方正仿宋_GBK"/>
                <w:sz w:val="22"/>
              </w:rPr>
            </w:pPr>
            <w:r>
              <w:rPr>
                <w:rFonts w:eastAsia="方正仿宋_GBK"/>
                <w:color w:val="000000"/>
                <w:sz w:val="22"/>
              </w:rPr>
              <w:t>6</w:t>
            </w:r>
          </w:p>
        </w:tc>
        <w:tc>
          <w:tcPr>
            <w:tcW w:w="2128" w:type="dxa"/>
            <w:vMerge w:val="restart"/>
            <w:tcBorders>
              <w:tl2br w:val="nil"/>
              <w:tr2bl w:val="nil"/>
            </w:tcBorders>
            <w:shd w:val="clear" w:color="auto" w:fill="auto"/>
            <w:vAlign w:val="center"/>
          </w:tcPr>
          <w:p w14:paraId="3CB72EFD">
            <w:pPr>
              <w:autoSpaceDE w:val="0"/>
              <w:adjustRightInd w:val="0"/>
              <w:spacing w:beforeAutospacing="1" w:afterAutospacing="1" w:line="300" w:lineRule="exact"/>
              <w:jc w:val="center"/>
              <w:textAlignment w:val="baseline"/>
              <w:outlineLvl w:val="1"/>
              <w:rPr>
                <w:rFonts w:eastAsia="方正仿宋_GBK"/>
                <w:sz w:val="22"/>
              </w:rPr>
            </w:pPr>
            <w:bookmarkStart w:id="99" w:name="_Toc15392"/>
            <w:r>
              <w:rPr>
                <w:rFonts w:eastAsia="方正仿宋_GBK"/>
                <w:color w:val="000000"/>
                <w:sz w:val="22"/>
              </w:rPr>
              <w:t>重大</w:t>
            </w:r>
            <w:bookmarkEnd w:id="99"/>
            <w:r>
              <w:rPr>
                <w:rFonts w:eastAsia="方正仿宋_GBK"/>
                <w:color w:val="000000"/>
                <w:sz w:val="22"/>
              </w:rPr>
              <w:t>动物疫情</w:t>
            </w:r>
          </w:p>
        </w:tc>
        <w:tc>
          <w:tcPr>
            <w:tcW w:w="2509" w:type="dxa"/>
            <w:tcBorders>
              <w:tl2br w:val="nil"/>
              <w:tr2bl w:val="nil"/>
            </w:tcBorders>
            <w:shd w:val="clear" w:color="auto" w:fill="auto"/>
            <w:vAlign w:val="center"/>
          </w:tcPr>
          <w:p w14:paraId="31BD319A">
            <w:pPr>
              <w:autoSpaceDE w:val="0"/>
              <w:adjustRightInd w:val="0"/>
              <w:spacing w:beforeAutospacing="1" w:afterAutospacing="1" w:line="300" w:lineRule="exact"/>
              <w:jc w:val="center"/>
              <w:textAlignment w:val="baseline"/>
              <w:outlineLvl w:val="1"/>
              <w:rPr>
                <w:rFonts w:eastAsia="方正仿宋_GBK"/>
                <w:sz w:val="22"/>
              </w:rPr>
            </w:pPr>
            <w:bookmarkStart w:id="100" w:name="_Toc3554"/>
            <w:r>
              <w:rPr>
                <w:rFonts w:eastAsia="方正仿宋_GBK"/>
                <w:color w:val="000000"/>
                <w:sz w:val="22"/>
              </w:rPr>
              <w:t>市畜牧局</w:t>
            </w:r>
            <w:bookmarkEnd w:id="100"/>
          </w:p>
        </w:tc>
        <w:tc>
          <w:tcPr>
            <w:tcW w:w="3635" w:type="dxa"/>
            <w:vMerge w:val="restart"/>
            <w:tcBorders>
              <w:tl2br w:val="nil"/>
              <w:tr2bl w:val="nil"/>
            </w:tcBorders>
            <w:shd w:val="clear" w:color="auto" w:fill="auto"/>
            <w:vAlign w:val="center"/>
          </w:tcPr>
          <w:p w14:paraId="19AC0156">
            <w:pPr>
              <w:autoSpaceDE w:val="0"/>
              <w:adjustRightInd w:val="0"/>
              <w:spacing w:beforeAutospacing="1" w:afterAutospacing="1" w:line="300" w:lineRule="exact"/>
              <w:jc w:val="center"/>
              <w:textAlignment w:val="baseline"/>
              <w:outlineLvl w:val="1"/>
              <w:rPr>
                <w:rFonts w:eastAsia="方正仿宋_GBK"/>
                <w:sz w:val="22"/>
              </w:rPr>
            </w:pPr>
            <w:bookmarkStart w:id="101" w:name="_Toc21560"/>
            <w:r>
              <w:rPr>
                <w:rFonts w:eastAsia="方正仿宋_GBK"/>
                <w:color w:val="000000"/>
                <w:sz w:val="22"/>
              </w:rPr>
              <w:t>市</w:t>
            </w:r>
            <w:bookmarkEnd w:id="101"/>
            <w:r>
              <w:rPr>
                <w:rFonts w:eastAsia="方正仿宋_GBK"/>
                <w:color w:val="000000"/>
                <w:sz w:val="22"/>
              </w:rPr>
              <w:t>防治动物重大疫病指挥部</w:t>
            </w:r>
          </w:p>
        </w:tc>
      </w:tr>
      <w:tr w14:paraId="0F6D4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697" w:type="dxa"/>
            <w:vMerge w:val="continue"/>
            <w:tcBorders>
              <w:tl2br w:val="nil"/>
              <w:tr2bl w:val="nil"/>
            </w:tcBorders>
            <w:shd w:val="clear" w:color="auto" w:fill="auto"/>
            <w:vAlign w:val="center"/>
          </w:tcPr>
          <w:p w14:paraId="50DB8EEA">
            <w:pPr>
              <w:rPr>
                <w:rFonts w:eastAsia="方正仿宋_GBK"/>
                <w:sz w:val="22"/>
              </w:rPr>
            </w:pPr>
          </w:p>
        </w:tc>
        <w:tc>
          <w:tcPr>
            <w:tcW w:w="2128" w:type="dxa"/>
            <w:vMerge w:val="continue"/>
            <w:tcBorders>
              <w:tl2br w:val="nil"/>
              <w:tr2bl w:val="nil"/>
            </w:tcBorders>
            <w:shd w:val="clear" w:color="auto" w:fill="auto"/>
            <w:vAlign w:val="center"/>
          </w:tcPr>
          <w:p w14:paraId="7BE911B4">
            <w:pPr>
              <w:rPr>
                <w:rFonts w:eastAsia="方正仿宋_GBK"/>
                <w:sz w:val="22"/>
              </w:rPr>
            </w:pPr>
          </w:p>
        </w:tc>
        <w:tc>
          <w:tcPr>
            <w:tcW w:w="2509" w:type="dxa"/>
            <w:tcBorders>
              <w:tl2br w:val="nil"/>
              <w:tr2bl w:val="nil"/>
            </w:tcBorders>
            <w:shd w:val="clear" w:color="auto" w:fill="auto"/>
            <w:vAlign w:val="center"/>
          </w:tcPr>
          <w:p w14:paraId="6131FB94">
            <w:pPr>
              <w:autoSpaceDE w:val="0"/>
              <w:adjustRightInd w:val="0"/>
              <w:spacing w:beforeAutospacing="1" w:afterAutospacing="1" w:line="300" w:lineRule="exact"/>
              <w:jc w:val="center"/>
              <w:textAlignment w:val="baseline"/>
              <w:outlineLvl w:val="1"/>
              <w:rPr>
                <w:rFonts w:eastAsia="方正仿宋_GBK"/>
                <w:color w:val="000000"/>
                <w:sz w:val="22"/>
              </w:rPr>
            </w:pPr>
            <w:r>
              <w:rPr>
                <w:rFonts w:eastAsia="方正仿宋_GBK"/>
                <w:color w:val="000000"/>
                <w:sz w:val="22"/>
              </w:rPr>
              <w:t>市林草局</w:t>
            </w:r>
          </w:p>
        </w:tc>
        <w:tc>
          <w:tcPr>
            <w:tcW w:w="3635" w:type="dxa"/>
            <w:vMerge w:val="continue"/>
            <w:tcBorders>
              <w:tl2br w:val="nil"/>
              <w:tr2bl w:val="nil"/>
            </w:tcBorders>
            <w:shd w:val="clear" w:color="auto" w:fill="auto"/>
            <w:vAlign w:val="center"/>
          </w:tcPr>
          <w:p w14:paraId="0BFA3F77">
            <w:pPr>
              <w:rPr>
                <w:rFonts w:eastAsia="方正仿宋_GBK"/>
                <w:sz w:val="22"/>
              </w:rPr>
            </w:pPr>
          </w:p>
        </w:tc>
      </w:tr>
    </w:tbl>
    <w:p w14:paraId="69C15035">
      <w:pPr>
        <w:pStyle w:val="2"/>
        <w:spacing w:beforeAutospacing="0" w:afterAutospacing="0"/>
        <w:ind w:firstLine="431" w:firstLineChars="196"/>
        <w:rPr>
          <w:rFonts w:ascii="Times New Roman" w:hAnsi="Times New Roman" w:eastAsia="方正仿宋_GBK"/>
          <w:b w:val="0"/>
          <w:sz w:val="22"/>
          <w:szCs w:val="24"/>
        </w:rPr>
      </w:pPr>
    </w:p>
    <w:p w14:paraId="1242CF60"/>
    <w:p w14:paraId="71C451E2"/>
    <w:p w14:paraId="6669881B">
      <w:pPr>
        <w:pStyle w:val="2"/>
        <w:spacing w:beforeAutospacing="0" w:afterAutospacing="0"/>
        <w:ind w:firstLine="560" w:firstLineChars="200"/>
        <w:rPr>
          <w:rFonts w:ascii="Times New Roman" w:hAnsi="Times New Roman" w:eastAsia="方正仿宋_GBK"/>
          <w:b w:val="0"/>
          <w:sz w:val="28"/>
          <w:szCs w:val="28"/>
        </w:rPr>
      </w:pPr>
      <w:r>
        <w:rPr>
          <w:rFonts w:ascii="Times New Roman" w:hAnsi="Times New Roman" w:eastAsia="方正仿宋_GBK"/>
          <w:b w:val="0"/>
          <w:sz w:val="28"/>
          <w:szCs w:val="28"/>
        </w:rPr>
        <w:t>4</w:t>
      </w:r>
      <w:r>
        <w:rPr>
          <w:rFonts w:hint="eastAsia" w:ascii="Times New Roman" w:hAnsi="Times New Roman" w:eastAsia="方正仿宋_GBK"/>
          <w:b w:val="0"/>
          <w:sz w:val="28"/>
          <w:szCs w:val="28"/>
        </w:rPr>
        <w:t>.</w:t>
      </w:r>
      <w:r>
        <w:rPr>
          <w:rFonts w:ascii="Times New Roman" w:hAnsi="Times New Roman" w:eastAsia="方正仿宋_GBK"/>
          <w:b w:val="0"/>
          <w:sz w:val="28"/>
          <w:szCs w:val="28"/>
        </w:rPr>
        <w:t>社会安全事件</w:t>
      </w:r>
    </w:p>
    <w:tbl>
      <w:tblPr>
        <w:tblStyle w:val="9"/>
        <w:tblW w:w="90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877"/>
        <w:gridCol w:w="2729"/>
        <w:gridCol w:w="3698"/>
      </w:tblGrid>
      <w:tr w14:paraId="17E0D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39" w:type="dxa"/>
            <w:tcBorders>
              <w:tl2br w:val="nil"/>
              <w:tr2bl w:val="nil"/>
            </w:tcBorders>
            <w:shd w:val="clear" w:color="auto" w:fill="auto"/>
            <w:vAlign w:val="center"/>
          </w:tcPr>
          <w:p w14:paraId="1D9ADDF9">
            <w:pPr>
              <w:autoSpaceDE w:val="0"/>
              <w:adjustRightInd w:val="0"/>
              <w:spacing w:before="100" w:beforeAutospacing="1" w:after="100" w:afterAutospacing="1" w:line="300" w:lineRule="exact"/>
              <w:jc w:val="center"/>
              <w:textAlignment w:val="baseline"/>
              <w:outlineLvl w:val="1"/>
              <w:rPr>
                <w:rFonts w:ascii="方正黑体_GBK" w:eastAsia="方正黑体_GBK"/>
                <w:bCs/>
                <w:sz w:val="22"/>
              </w:rPr>
            </w:pPr>
            <w:bookmarkStart w:id="102" w:name="_Toc13347"/>
            <w:r>
              <w:rPr>
                <w:rFonts w:hint="eastAsia" w:ascii="方正黑体_GBK" w:eastAsia="方正黑体_GBK"/>
                <w:bCs/>
                <w:color w:val="000000"/>
                <w:sz w:val="22"/>
              </w:rPr>
              <w:t>序号</w:t>
            </w:r>
            <w:bookmarkEnd w:id="102"/>
          </w:p>
        </w:tc>
        <w:tc>
          <w:tcPr>
            <w:tcW w:w="1877" w:type="dxa"/>
            <w:tcBorders>
              <w:tl2br w:val="nil"/>
              <w:tr2bl w:val="nil"/>
            </w:tcBorders>
            <w:shd w:val="clear" w:color="auto" w:fill="auto"/>
            <w:vAlign w:val="center"/>
          </w:tcPr>
          <w:p w14:paraId="3667C96E">
            <w:pPr>
              <w:autoSpaceDE w:val="0"/>
              <w:adjustRightInd w:val="0"/>
              <w:spacing w:beforeAutospacing="1" w:afterAutospacing="1" w:line="300" w:lineRule="exact"/>
              <w:jc w:val="center"/>
              <w:textAlignment w:val="baseline"/>
              <w:outlineLvl w:val="1"/>
              <w:rPr>
                <w:rFonts w:ascii="方正黑体_GBK" w:eastAsia="方正黑体_GBK"/>
                <w:bCs/>
                <w:sz w:val="22"/>
              </w:rPr>
            </w:pPr>
            <w:bookmarkStart w:id="103" w:name="_Toc25094"/>
            <w:r>
              <w:rPr>
                <w:rFonts w:hint="eastAsia" w:ascii="方正黑体_GBK" w:eastAsia="方正黑体_GBK"/>
                <w:bCs/>
                <w:color w:val="000000"/>
                <w:sz w:val="22"/>
              </w:rPr>
              <w:t>事件类别</w:t>
            </w:r>
            <w:bookmarkEnd w:id="103"/>
          </w:p>
        </w:tc>
        <w:tc>
          <w:tcPr>
            <w:tcW w:w="2729" w:type="dxa"/>
            <w:tcBorders>
              <w:tl2br w:val="nil"/>
              <w:tr2bl w:val="nil"/>
            </w:tcBorders>
            <w:shd w:val="clear" w:color="auto" w:fill="auto"/>
            <w:vAlign w:val="center"/>
          </w:tcPr>
          <w:p w14:paraId="7F59D3D1">
            <w:pPr>
              <w:autoSpaceDE w:val="0"/>
              <w:adjustRightInd w:val="0"/>
              <w:spacing w:beforeAutospacing="1" w:afterAutospacing="1" w:line="300" w:lineRule="exact"/>
              <w:jc w:val="center"/>
              <w:textAlignment w:val="baseline"/>
              <w:outlineLvl w:val="1"/>
              <w:rPr>
                <w:rFonts w:ascii="方正黑体_GBK" w:eastAsia="方正黑体_GBK"/>
                <w:bCs/>
                <w:sz w:val="22"/>
              </w:rPr>
            </w:pPr>
            <w:bookmarkStart w:id="104" w:name="_Toc10125"/>
            <w:r>
              <w:rPr>
                <w:rFonts w:hint="eastAsia" w:ascii="方正黑体_GBK" w:eastAsia="方正黑体_GBK"/>
                <w:bCs/>
                <w:color w:val="000000"/>
                <w:sz w:val="22"/>
              </w:rPr>
              <w:t>主要牵头部门</w:t>
            </w:r>
            <w:bookmarkEnd w:id="104"/>
          </w:p>
        </w:tc>
        <w:tc>
          <w:tcPr>
            <w:tcW w:w="3698" w:type="dxa"/>
            <w:tcBorders>
              <w:tl2br w:val="nil"/>
              <w:tr2bl w:val="nil"/>
            </w:tcBorders>
            <w:shd w:val="clear" w:color="auto" w:fill="auto"/>
            <w:vAlign w:val="center"/>
          </w:tcPr>
          <w:p w14:paraId="2CAC2092">
            <w:pPr>
              <w:autoSpaceDE w:val="0"/>
              <w:adjustRightInd w:val="0"/>
              <w:spacing w:beforeAutospacing="1" w:afterAutospacing="1" w:line="300" w:lineRule="exact"/>
              <w:jc w:val="center"/>
              <w:textAlignment w:val="baseline"/>
              <w:outlineLvl w:val="1"/>
              <w:rPr>
                <w:rFonts w:ascii="方正黑体_GBK" w:eastAsia="方正黑体_GBK"/>
                <w:bCs/>
                <w:sz w:val="22"/>
              </w:rPr>
            </w:pPr>
            <w:bookmarkStart w:id="105" w:name="_Toc24473"/>
            <w:r>
              <w:rPr>
                <w:rFonts w:hint="eastAsia" w:ascii="方正黑体_GBK" w:eastAsia="方正黑体_GBK"/>
                <w:bCs/>
                <w:color w:val="000000"/>
                <w:sz w:val="22"/>
              </w:rPr>
              <w:t>专项指挥机构</w:t>
            </w:r>
            <w:bookmarkEnd w:id="105"/>
          </w:p>
        </w:tc>
      </w:tr>
      <w:tr w14:paraId="345536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39" w:type="dxa"/>
            <w:tcBorders>
              <w:tl2br w:val="nil"/>
              <w:tr2bl w:val="nil"/>
            </w:tcBorders>
            <w:shd w:val="clear" w:color="auto" w:fill="auto"/>
            <w:vAlign w:val="center"/>
          </w:tcPr>
          <w:p w14:paraId="5A615B09">
            <w:pPr>
              <w:autoSpaceDE w:val="0"/>
              <w:adjustRightInd w:val="0"/>
              <w:spacing w:beforeAutospacing="1" w:afterAutospacing="1" w:line="400" w:lineRule="exact"/>
              <w:jc w:val="center"/>
              <w:textAlignment w:val="baseline"/>
              <w:outlineLvl w:val="1"/>
              <w:rPr>
                <w:rFonts w:eastAsia="方正仿宋_GBK"/>
                <w:sz w:val="22"/>
              </w:rPr>
            </w:pPr>
            <w:bookmarkStart w:id="106" w:name="_Toc26437"/>
            <w:r>
              <w:rPr>
                <w:rFonts w:eastAsia="方正仿宋_GBK"/>
                <w:color w:val="000000"/>
                <w:sz w:val="22"/>
              </w:rPr>
              <w:t>1</w:t>
            </w:r>
            <w:bookmarkEnd w:id="106"/>
          </w:p>
        </w:tc>
        <w:tc>
          <w:tcPr>
            <w:tcW w:w="1877" w:type="dxa"/>
            <w:tcBorders>
              <w:tl2br w:val="nil"/>
              <w:tr2bl w:val="nil"/>
            </w:tcBorders>
            <w:shd w:val="clear" w:color="auto" w:fill="auto"/>
            <w:vAlign w:val="center"/>
          </w:tcPr>
          <w:p w14:paraId="016D5E70">
            <w:pPr>
              <w:autoSpaceDE w:val="0"/>
              <w:adjustRightInd w:val="0"/>
              <w:spacing w:beforeAutospacing="1" w:afterAutospacing="1" w:line="400" w:lineRule="exact"/>
              <w:jc w:val="center"/>
              <w:textAlignment w:val="baseline"/>
              <w:outlineLvl w:val="1"/>
              <w:rPr>
                <w:rFonts w:eastAsia="方正仿宋_GBK"/>
                <w:sz w:val="22"/>
              </w:rPr>
            </w:pPr>
            <w:bookmarkStart w:id="107" w:name="_Toc14487"/>
            <w:r>
              <w:rPr>
                <w:rFonts w:eastAsia="方正仿宋_GBK"/>
                <w:color w:val="000000"/>
                <w:spacing w:val="-17"/>
                <w:sz w:val="22"/>
              </w:rPr>
              <w:t>恐怖袭击事件</w:t>
            </w:r>
            <w:bookmarkEnd w:id="107"/>
          </w:p>
        </w:tc>
        <w:tc>
          <w:tcPr>
            <w:tcW w:w="2729" w:type="dxa"/>
            <w:vMerge w:val="restart"/>
            <w:tcBorders>
              <w:tl2br w:val="nil"/>
              <w:tr2bl w:val="nil"/>
            </w:tcBorders>
            <w:shd w:val="clear" w:color="auto" w:fill="auto"/>
            <w:vAlign w:val="center"/>
          </w:tcPr>
          <w:p w14:paraId="5B1E17AF">
            <w:pPr>
              <w:autoSpaceDE w:val="0"/>
              <w:adjustRightInd w:val="0"/>
              <w:spacing w:beforeAutospacing="1" w:afterAutospacing="1" w:line="400" w:lineRule="exact"/>
              <w:jc w:val="center"/>
              <w:textAlignment w:val="baseline"/>
              <w:outlineLvl w:val="1"/>
              <w:rPr>
                <w:rFonts w:eastAsia="方正仿宋_GBK"/>
                <w:sz w:val="22"/>
              </w:rPr>
            </w:pPr>
            <w:bookmarkStart w:id="108" w:name="_Toc24297"/>
            <w:r>
              <w:rPr>
                <w:rFonts w:eastAsia="方正仿宋_GBK"/>
                <w:color w:val="000000"/>
                <w:sz w:val="22"/>
              </w:rPr>
              <w:t>市公安局</w:t>
            </w:r>
            <w:bookmarkEnd w:id="108"/>
          </w:p>
        </w:tc>
        <w:tc>
          <w:tcPr>
            <w:tcW w:w="3698" w:type="dxa"/>
            <w:tcBorders>
              <w:tl2br w:val="nil"/>
              <w:tr2bl w:val="nil"/>
            </w:tcBorders>
            <w:shd w:val="clear" w:color="auto" w:fill="auto"/>
            <w:vAlign w:val="center"/>
          </w:tcPr>
          <w:p w14:paraId="4D107716">
            <w:pPr>
              <w:autoSpaceDE w:val="0"/>
              <w:adjustRightInd w:val="0"/>
              <w:spacing w:beforeAutospacing="1" w:afterAutospacing="1" w:line="400" w:lineRule="exact"/>
              <w:jc w:val="center"/>
              <w:textAlignment w:val="baseline"/>
              <w:outlineLvl w:val="1"/>
              <w:rPr>
                <w:rFonts w:eastAsia="方正仿宋_GBK"/>
                <w:sz w:val="22"/>
              </w:rPr>
            </w:pPr>
            <w:bookmarkStart w:id="109" w:name="_Toc32683"/>
            <w:r>
              <w:rPr>
                <w:rFonts w:eastAsia="方正仿宋_GBK"/>
                <w:color w:val="000000"/>
                <w:sz w:val="22"/>
              </w:rPr>
              <w:t>市反恐怖工作领导小组</w:t>
            </w:r>
            <w:bookmarkEnd w:id="109"/>
          </w:p>
        </w:tc>
      </w:tr>
      <w:tr w14:paraId="22434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739" w:type="dxa"/>
            <w:tcBorders>
              <w:tl2br w:val="nil"/>
              <w:tr2bl w:val="nil"/>
            </w:tcBorders>
            <w:shd w:val="clear" w:color="auto" w:fill="auto"/>
            <w:vAlign w:val="center"/>
          </w:tcPr>
          <w:p w14:paraId="353088E1">
            <w:pPr>
              <w:autoSpaceDE w:val="0"/>
              <w:adjustRightInd w:val="0"/>
              <w:spacing w:beforeAutospacing="1" w:afterAutospacing="1" w:line="400" w:lineRule="exact"/>
              <w:jc w:val="center"/>
              <w:textAlignment w:val="baseline"/>
              <w:outlineLvl w:val="1"/>
              <w:rPr>
                <w:rFonts w:eastAsia="方正仿宋_GBK"/>
                <w:sz w:val="22"/>
              </w:rPr>
            </w:pPr>
            <w:bookmarkStart w:id="110" w:name="_Toc8726"/>
            <w:r>
              <w:rPr>
                <w:rFonts w:eastAsia="方正仿宋_GBK"/>
                <w:color w:val="000000"/>
                <w:sz w:val="22"/>
              </w:rPr>
              <w:t>2</w:t>
            </w:r>
            <w:bookmarkEnd w:id="110"/>
          </w:p>
        </w:tc>
        <w:tc>
          <w:tcPr>
            <w:tcW w:w="1877" w:type="dxa"/>
            <w:tcBorders>
              <w:tl2br w:val="nil"/>
              <w:tr2bl w:val="nil"/>
            </w:tcBorders>
            <w:shd w:val="clear" w:color="auto" w:fill="auto"/>
            <w:vAlign w:val="center"/>
          </w:tcPr>
          <w:p w14:paraId="6E3D149A">
            <w:pPr>
              <w:autoSpaceDE w:val="0"/>
              <w:adjustRightInd w:val="0"/>
              <w:spacing w:beforeAutospacing="1" w:afterAutospacing="1" w:line="400" w:lineRule="exact"/>
              <w:jc w:val="center"/>
              <w:textAlignment w:val="baseline"/>
              <w:outlineLvl w:val="1"/>
              <w:rPr>
                <w:rFonts w:eastAsia="方正仿宋_GBK"/>
                <w:sz w:val="22"/>
              </w:rPr>
            </w:pPr>
            <w:bookmarkStart w:id="111" w:name="_Toc951"/>
            <w:r>
              <w:rPr>
                <w:rFonts w:eastAsia="方正仿宋_GBK"/>
                <w:color w:val="000000"/>
                <w:sz w:val="22"/>
              </w:rPr>
              <w:t>刑事案件</w:t>
            </w:r>
            <w:bookmarkEnd w:id="111"/>
          </w:p>
        </w:tc>
        <w:tc>
          <w:tcPr>
            <w:tcW w:w="2729" w:type="dxa"/>
            <w:vMerge w:val="continue"/>
            <w:tcBorders>
              <w:tl2br w:val="nil"/>
              <w:tr2bl w:val="nil"/>
            </w:tcBorders>
            <w:shd w:val="clear" w:color="auto" w:fill="auto"/>
            <w:vAlign w:val="center"/>
          </w:tcPr>
          <w:p w14:paraId="738F6327">
            <w:pPr>
              <w:jc w:val="center"/>
              <w:rPr>
                <w:rFonts w:eastAsia="方正仿宋_GBK"/>
                <w:sz w:val="22"/>
              </w:rPr>
            </w:pPr>
          </w:p>
        </w:tc>
        <w:tc>
          <w:tcPr>
            <w:tcW w:w="3698" w:type="dxa"/>
            <w:tcBorders>
              <w:tl2br w:val="nil"/>
              <w:tr2bl w:val="nil"/>
            </w:tcBorders>
            <w:shd w:val="clear" w:color="auto" w:fill="auto"/>
            <w:vAlign w:val="center"/>
          </w:tcPr>
          <w:p w14:paraId="3FABFE1F">
            <w:pPr>
              <w:autoSpaceDE w:val="0"/>
              <w:adjustRightInd w:val="0"/>
              <w:spacing w:beforeAutospacing="1" w:afterAutospacing="1" w:line="400" w:lineRule="exact"/>
              <w:jc w:val="center"/>
              <w:textAlignment w:val="baseline"/>
              <w:outlineLvl w:val="1"/>
              <w:rPr>
                <w:rFonts w:eastAsia="方正仿宋_GBK"/>
                <w:sz w:val="22"/>
              </w:rPr>
            </w:pPr>
            <w:bookmarkStart w:id="112" w:name="_Toc10743"/>
            <w:r>
              <w:rPr>
                <w:rFonts w:eastAsia="方正仿宋_GBK"/>
                <w:color w:val="000000"/>
                <w:sz w:val="22"/>
              </w:rPr>
              <w:t>市刑事案件应急指挥部</w:t>
            </w:r>
            <w:bookmarkEnd w:id="112"/>
          </w:p>
        </w:tc>
      </w:tr>
      <w:tr w14:paraId="3DD35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9" w:type="dxa"/>
            <w:tcBorders>
              <w:tl2br w:val="nil"/>
              <w:tr2bl w:val="nil"/>
            </w:tcBorders>
            <w:shd w:val="clear" w:color="auto" w:fill="auto"/>
            <w:vAlign w:val="center"/>
          </w:tcPr>
          <w:p w14:paraId="5CFACB87">
            <w:pPr>
              <w:autoSpaceDE w:val="0"/>
              <w:adjustRightInd w:val="0"/>
              <w:spacing w:beforeAutospacing="1" w:afterAutospacing="1" w:line="400" w:lineRule="exact"/>
              <w:jc w:val="center"/>
              <w:textAlignment w:val="baseline"/>
              <w:outlineLvl w:val="1"/>
              <w:rPr>
                <w:rFonts w:eastAsia="方正仿宋_GBK"/>
                <w:color w:val="000000"/>
                <w:sz w:val="22"/>
              </w:rPr>
            </w:pPr>
            <w:bookmarkStart w:id="113" w:name="_Toc10961"/>
            <w:bookmarkStart w:id="114" w:name="_Toc8509"/>
            <w:r>
              <w:rPr>
                <w:rFonts w:eastAsia="方正仿宋_GBK"/>
                <w:color w:val="000000"/>
                <w:sz w:val="22"/>
              </w:rPr>
              <w:t>3</w:t>
            </w:r>
            <w:bookmarkEnd w:id="113"/>
          </w:p>
        </w:tc>
        <w:tc>
          <w:tcPr>
            <w:tcW w:w="1877" w:type="dxa"/>
            <w:tcBorders>
              <w:tl2br w:val="nil"/>
              <w:tr2bl w:val="nil"/>
            </w:tcBorders>
            <w:shd w:val="clear" w:color="auto" w:fill="auto"/>
            <w:vAlign w:val="center"/>
          </w:tcPr>
          <w:p w14:paraId="16E9D564">
            <w:pPr>
              <w:autoSpaceDE w:val="0"/>
              <w:adjustRightInd w:val="0"/>
              <w:spacing w:beforeAutospacing="1" w:afterAutospacing="1" w:line="400" w:lineRule="exact"/>
              <w:jc w:val="center"/>
              <w:textAlignment w:val="baseline"/>
              <w:outlineLvl w:val="1"/>
              <w:rPr>
                <w:rFonts w:eastAsia="方正仿宋_GBK"/>
                <w:color w:val="000000"/>
                <w:sz w:val="22"/>
              </w:rPr>
            </w:pPr>
            <w:bookmarkStart w:id="115" w:name="_Toc10698"/>
            <w:r>
              <w:rPr>
                <w:rFonts w:eastAsia="方正仿宋_GBK"/>
                <w:color w:val="000000"/>
                <w:sz w:val="22"/>
              </w:rPr>
              <w:t>群体性事件</w:t>
            </w:r>
            <w:bookmarkEnd w:id="115"/>
          </w:p>
        </w:tc>
        <w:tc>
          <w:tcPr>
            <w:tcW w:w="2729" w:type="dxa"/>
            <w:tcBorders>
              <w:tl2br w:val="nil"/>
              <w:tr2bl w:val="nil"/>
            </w:tcBorders>
            <w:shd w:val="clear" w:color="auto" w:fill="auto"/>
            <w:vAlign w:val="center"/>
          </w:tcPr>
          <w:p w14:paraId="239B9669">
            <w:pPr>
              <w:autoSpaceDE w:val="0"/>
              <w:adjustRightInd w:val="0"/>
              <w:spacing w:beforeAutospacing="1" w:afterAutospacing="1" w:line="400" w:lineRule="exact"/>
              <w:jc w:val="center"/>
              <w:textAlignment w:val="baseline"/>
              <w:outlineLvl w:val="1"/>
              <w:rPr>
                <w:rFonts w:eastAsia="方正仿宋_GBK"/>
                <w:color w:val="000000"/>
                <w:sz w:val="22"/>
              </w:rPr>
            </w:pPr>
            <w:r>
              <w:rPr>
                <w:rFonts w:eastAsia="方正仿宋_GBK"/>
                <w:color w:val="000000"/>
                <w:sz w:val="22"/>
              </w:rPr>
              <w:t>市委政法委</w:t>
            </w:r>
          </w:p>
        </w:tc>
        <w:tc>
          <w:tcPr>
            <w:tcW w:w="3698" w:type="dxa"/>
            <w:tcBorders>
              <w:tl2br w:val="nil"/>
              <w:tr2bl w:val="nil"/>
            </w:tcBorders>
            <w:shd w:val="clear" w:color="auto" w:fill="auto"/>
            <w:vAlign w:val="center"/>
          </w:tcPr>
          <w:p w14:paraId="46D32FDE">
            <w:pPr>
              <w:autoSpaceDE w:val="0"/>
              <w:adjustRightInd w:val="0"/>
              <w:spacing w:beforeAutospacing="1" w:afterAutospacing="1" w:line="400" w:lineRule="exact"/>
              <w:jc w:val="center"/>
              <w:textAlignment w:val="baseline"/>
              <w:outlineLvl w:val="1"/>
              <w:rPr>
                <w:rFonts w:eastAsia="方正仿宋_GBK"/>
                <w:color w:val="000000"/>
                <w:sz w:val="22"/>
              </w:rPr>
            </w:pPr>
            <w:bookmarkStart w:id="116" w:name="_Toc32604"/>
            <w:r>
              <w:rPr>
                <w:rFonts w:eastAsia="方正仿宋_GBK"/>
                <w:color w:val="000000"/>
                <w:sz w:val="22"/>
              </w:rPr>
              <w:t>市群体性事件应急指挥部</w:t>
            </w:r>
            <w:bookmarkEnd w:id="116"/>
          </w:p>
        </w:tc>
      </w:tr>
      <w:tr w14:paraId="66FA91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9" w:type="dxa"/>
            <w:tcBorders>
              <w:tl2br w:val="nil"/>
              <w:tr2bl w:val="nil"/>
            </w:tcBorders>
            <w:shd w:val="clear" w:color="auto" w:fill="auto"/>
            <w:vAlign w:val="center"/>
          </w:tcPr>
          <w:p w14:paraId="7CFFFAA4">
            <w:pPr>
              <w:autoSpaceDE w:val="0"/>
              <w:adjustRightInd w:val="0"/>
              <w:spacing w:beforeAutospacing="1" w:afterAutospacing="1" w:line="400" w:lineRule="exact"/>
              <w:jc w:val="center"/>
              <w:textAlignment w:val="baseline"/>
              <w:outlineLvl w:val="1"/>
              <w:rPr>
                <w:rFonts w:eastAsia="方正仿宋_GBK"/>
                <w:sz w:val="22"/>
              </w:rPr>
            </w:pPr>
            <w:r>
              <w:rPr>
                <w:rFonts w:eastAsia="方正仿宋_GBK"/>
                <w:color w:val="000000"/>
                <w:sz w:val="22"/>
              </w:rPr>
              <w:t>4</w:t>
            </w:r>
            <w:bookmarkEnd w:id="114"/>
          </w:p>
        </w:tc>
        <w:tc>
          <w:tcPr>
            <w:tcW w:w="1877" w:type="dxa"/>
            <w:tcBorders>
              <w:tl2br w:val="nil"/>
              <w:tr2bl w:val="nil"/>
            </w:tcBorders>
            <w:shd w:val="clear" w:color="auto" w:fill="auto"/>
            <w:vAlign w:val="center"/>
          </w:tcPr>
          <w:p w14:paraId="11B13D14">
            <w:pPr>
              <w:autoSpaceDE w:val="0"/>
              <w:adjustRightInd w:val="0"/>
              <w:spacing w:beforeAutospacing="1" w:afterAutospacing="1" w:line="400" w:lineRule="exact"/>
              <w:jc w:val="center"/>
              <w:textAlignment w:val="baseline"/>
              <w:outlineLvl w:val="1"/>
              <w:rPr>
                <w:rFonts w:eastAsia="方正仿宋_GBK"/>
                <w:sz w:val="22"/>
              </w:rPr>
            </w:pPr>
            <w:bookmarkStart w:id="117" w:name="_Toc22352"/>
            <w:r>
              <w:rPr>
                <w:rFonts w:eastAsia="方正仿宋_GBK"/>
                <w:color w:val="000000"/>
                <w:spacing w:val="-17"/>
                <w:sz w:val="22"/>
              </w:rPr>
              <w:t>网络安全事件</w:t>
            </w:r>
            <w:bookmarkEnd w:id="117"/>
          </w:p>
        </w:tc>
        <w:tc>
          <w:tcPr>
            <w:tcW w:w="2729" w:type="dxa"/>
            <w:tcBorders>
              <w:tl2br w:val="nil"/>
              <w:tr2bl w:val="nil"/>
            </w:tcBorders>
            <w:shd w:val="clear" w:color="auto" w:fill="auto"/>
            <w:vAlign w:val="center"/>
          </w:tcPr>
          <w:p w14:paraId="0EEE93CC">
            <w:pPr>
              <w:autoSpaceDE w:val="0"/>
              <w:adjustRightInd w:val="0"/>
              <w:spacing w:beforeAutospacing="1" w:afterAutospacing="1" w:line="400" w:lineRule="exact"/>
              <w:jc w:val="center"/>
              <w:textAlignment w:val="baseline"/>
              <w:outlineLvl w:val="1"/>
              <w:rPr>
                <w:rFonts w:eastAsia="方正仿宋_GBK"/>
                <w:sz w:val="22"/>
              </w:rPr>
            </w:pPr>
            <w:bookmarkStart w:id="118" w:name="_Toc10992"/>
            <w:r>
              <w:rPr>
                <w:rFonts w:eastAsia="方正仿宋_GBK"/>
                <w:color w:val="000000"/>
                <w:sz w:val="22"/>
              </w:rPr>
              <w:t>市委网信办</w:t>
            </w:r>
            <w:bookmarkEnd w:id="118"/>
          </w:p>
        </w:tc>
        <w:tc>
          <w:tcPr>
            <w:tcW w:w="3698" w:type="dxa"/>
            <w:tcBorders>
              <w:tl2br w:val="nil"/>
              <w:tr2bl w:val="nil"/>
            </w:tcBorders>
            <w:shd w:val="clear" w:color="auto" w:fill="auto"/>
            <w:vAlign w:val="center"/>
          </w:tcPr>
          <w:p w14:paraId="73F1A5E7">
            <w:pPr>
              <w:autoSpaceDE w:val="0"/>
              <w:adjustRightInd w:val="0"/>
              <w:spacing w:beforeAutospacing="1" w:afterAutospacing="1" w:line="400" w:lineRule="exact"/>
              <w:jc w:val="center"/>
              <w:textAlignment w:val="baseline"/>
              <w:outlineLvl w:val="1"/>
              <w:rPr>
                <w:rFonts w:eastAsia="方正仿宋_GBK"/>
                <w:sz w:val="22"/>
              </w:rPr>
            </w:pPr>
            <w:bookmarkStart w:id="119" w:name="_Toc31448"/>
            <w:r>
              <w:rPr>
                <w:rFonts w:eastAsia="方正仿宋_GBK"/>
                <w:color w:val="000000"/>
                <w:sz w:val="22"/>
              </w:rPr>
              <w:t>市网络安全事件应急指挥部</w:t>
            </w:r>
            <w:bookmarkEnd w:id="119"/>
          </w:p>
        </w:tc>
      </w:tr>
      <w:tr w14:paraId="3CB3A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7" w:hRule="atLeast"/>
          <w:jc w:val="center"/>
        </w:trPr>
        <w:tc>
          <w:tcPr>
            <w:tcW w:w="739" w:type="dxa"/>
            <w:tcBorders>
              <w:tl2br w:val="nil"/>
              <w:tr2bl w:val="nil"/>
            </w:tcBorders>
            <w:shd w:val="clear" w:color="auto" w:fill="auto"/>
            <w:vAlign w:val="center"/>
          </w:tcPr>
          <w:p w14:paraId="3B48B91F">
            <w:pPr>
              <w:autoSpaceDE w:val="0"/>
              <w:adjustRightInd w:val="0"/>
              <w:spacing w:beforeAutospacing="1" w:afterAutospacing="1" w:line="400" w:lineRule="exact"/>
              <w:jc w:val="center"/>
              <w:textAlignment w:val="baseline"/>
              <w:outlineLvl w:val="1"/>
              <w:rPr>
                <w:rFonts w:eastAsia="方正仿宋_GBK"/>
                <w:sz w:val="22"/>
              </w:rPr>
            </w:pPr>
            <w:bookmarkStart w:id="120" w:name="_Toc29962"/>
            <w:r>
              <w:rPr>
                <w:rFonts w:eastAsia="方正仿宋_GBK"/>
                <w:color w:val="000000"/>
                <w:sz w:val="22"/>
              </w:rPr>
              <w:t>5</w:t>
            </w:r>
            <w:bookmarkEnd w:id="120"/>
          </w:p>
        </w:tc>
        <w:tc>
          <w:tcPr>
            <w:tcW w:w="1877" w:type="dxa"/>
            <w:tcBorders>
              <w:tl2br w:val="nil"/>
              <w:tr2bl w:val="nil"/>
            </w:tcBorders>
            <w:shd w:val="clear" w:color="auto" w:fill="auto"/>
            <w:vAlign w:val="center"/>
          </w:tcPr>
          <w:p w14:paraId="39598CBE">
            <w:pPr>
              <w:autoSpaceDE w:val="0"/>
              <w:adjustRightInd w:val="0"/>
              <w:spacing w:beforeAutospacing="1" w:afterAutospacing="1" w:line="360" w:lineRule="exact"/>
              <w:jc w:val="center"/>
              <w:textAlignment w:val="baseline"/>
              <w:outlineLvl w:val="1"/>
              <w:rPr>
                <w:rFonts w:eastAsia="方正仿宋_GBK"/>
                <w:sz w:val="22"/>
              </w:rPr>
            </w:pPr>
            <w:bookmarkStart w:id="121" w:name="_Toc4671"/>
            <w:r>
              <w:rPr>
                <w:rFonts w:eastAsia="方正仿宋_GBK"/>
                <w:color w:val="000000"/>
                <w:sz w:val="22"/>
              </w:rPr>
              <w:t>影响生活必需品市场稳定突发事件</w:t>
            </w:r>
            <w:bookmarkEnd w:id="121"/>
          </w:p>
        </w:tc>
        <w:tc>
          <w:tcPr>
            <w:tcW w:w="2729" w:type="dxa"/>
            <w:tcBorders>
              <w:tl2br w:val="nil"/>
              <w:tr2bl w:val="nil"/>
            </w:tcBorders>
            <w:shd w:val="clear" w:color="auto" w:fill="auto"/>
            <w:vAlign w:val="center"/>
          </w:tcPr>
          <w:p w14:paraId="65A4AB6F">
            <w:pPr>
              <w:jc w:val="center"/>
              <w:rPr>
                <w:rFonts w:eastAsia="方正仿宋_GBK"/>
                <w:spacing w:val="-28"/>
                <w:sz w:val="22"/>
              </w:rPr>
            </w:pPr>
            <w:bookmarkStart w:id="122" w:name="_Toc15321"/>
            <w:r>
              <w:rPr>
                <w:rFonts w:eastAsia="方正仿宋_GBK"/>
                <w:spacing w:val="-28"/>
                <w:sz w:val="22"/>
              </w:rPr>
              <w:t>市商务局</w:t>
            </w:r>
            <w:bookmarkEnd w:id="122"/>
            <w:r>
              <w:rPr>
                <w:rFonts w:eastAsia="方正仿宋_GBK"/>
                <w:spacing w:val="-28"/>
                <w:sz w:val="22"/>
              </w:rPr>
              <w:t>（负责生活必需品市场供需稳定）</w:t>
            </w:r>
          </w:p>
          <w:p w14:paraId="5DCC950B">
            <w:pPr>
              <w:jc w:val="center"/>
              <w:rPr>
                <w:rFonts w:eastAsia="方正仿宋_GBK"/>
                <w:sz w:val="22"/>
              </w:rPr>
            </w:pPr>
            <w:r>
              <w:rPr>
                <w:rFonts w:eastAsia="方正仿宋_GBK"/>
                <w:spacing w:val="-28"/>
                <w:sz w:val="22"/>
              </w:rPr>
              <w:t>市市场监管局（负责生活必需品市场价格稳定）</w:t>
            </w:r>
          </w:p>
        </w:tc>
        <w:tc>
          <w:tcPr>
            <w:tcW w:w="3698" w:type="dxa"/>
            <w:tcBorders>
              <w:tl2br w:val="nil"/>
              <w:tr2bl w:val="nil"/>
            </w:tcBorders>
            <w:shd w:val="clear" w:color="auto" w:fill="auto"/>
            <w:vAlign w:val="center"/>
          </w:tcPr>
          <w:p w14:paraId="0F2B2861">
            <w:pPr>
              <w:autoSpaceDE w:val="0"/>
              <w:adjustRightInd w:val="0"/>
              <w:spacing w:beforeAutospacing="1" w:afterAutospacing="1" w:line="400" w:lineRule="exact"/>
              <w:jc w:val="center"/>
              <w:textAlignment w:val="baseline"/>
              <w:outlineLvl w:val="1"/>
              <w:rPr>
                <w:rFonts w:eastAsia="方正仿宋_GBK"/>
                <w:sz w:val="22"/>
              </w:rPr>
            </w:pPr>
            <w:bookmarkStart w:id="123" w:name="_Toc29881"/>
            <w:r>
              <w:rPr>
                <w:rFonts w:eastAsia="方正仿宋_GBK"/>
                <w:color w:val="000000"/>
                <w:sz w:val="22"/>
              </w:rPr>
              <w:t>市市场稳定事件应急指挥部</w:t>
            </w:r>
            <w:bookmarkEnd w:id="123"/>
          </w:p>
        </w:tc>
      </w:tr>
      <w:tr w14:paraId="265C2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39" w:type="dxa"/>
            <w:tcBorders>
              <w:tl2br w:val="nil"/>
              <w:tr2bl w:val="nil"/>
            </w:tcBorders>
            <w:shd w:val="clear" w:color="auto" w:fill="auto"/>
            <w:vAlign w:val="center"/>
          </w:tcPr>
          <w:p w14:paraId="011108A0">
            <w:pPr>
              <w:autoSpaceDE w:val="0"/>
              <w:adjustRightInd w:val="0"/>
              <w:spacing w:beforeAutospacing="1" w:afterAutospacing="1" w:line="400" w:lineRule="exact"/>
              <w:jc w:val="center"/>
              <w:textAlignment w:val="baseline"/>
              <w:outlineLvl w:val="1"/>
              <w:rPr>
                <w:rFonts w:eastAsia="方正仿宋_GBK"/>
                <w:sz w:val="22"/>
              </w:rPr>
            </w:pPr>
            <w:bookmarkStart w:id="124" w:name="_Toc8908"/>
            <w:r>
              <w:rPr>
                <w:rFonts w:eastAsia="方正仿宋_GBK"/>
                <w:color w:val="000000"/>
                <w:sz w:val="22"/>
              </w:rPr>
              <w:t>6</w:t>
            </w:r>
            <w:bookmarkEnd w:id="124"/>
          </w:p>
        </w:tc>
        <w:tc>
          <w:tcPr>
            <w:tcW w:w="1877" w:type="dxa"/>
            <w:tcBorders>
              <w:tl2br w:val="nil"/>
              <w:tr2bl w:val="nil"/>
            </w:tcBorders>
            <w:shd w:val="clear" w:color="auto" w:fill="auto"/>
            <w:vAlign w:val="center"/>
          </w:tcPr>
          <w:p w14:paraId="7DFF46BF">
            <w:pPr>
              <w:autoSpaceDE w:val="0"/>
              <w:adjustRightInd w:val="0"/>
              <w:spacing w:beforeAutospacing="1" w:afterAutospacing="1" w:line="400" w:lineRule="exact"/>
              <w:jc w:val="center"/>
              <w:textAlignment w:val="baseline"/>
              <w:outlineLvl w:val="1"/>
              <w:rPr>
                <w:rFonts w:eastAsia="方正仿宋_GBK"/>
                <w:sz w:val="22"/>
              </w:rPr>
            </w:pPr>
            <w:bookmarkStart w:id="125" w:name="_Toc13865"/>
            <w:r>
              <w:rPr>
                <w:rFonts w:eastAsia="方正仿宋_GBK"/>
                <w:color w:val="000000"/>
                <w:spacing w:val="-17"/>
                <w:sz w:val="22"/>
              </w:rPr>
              <w:t>成品油供应中断突发事件</w:t>
            </w:r>
            <w:bookmarkEnd w:id="125"/>
          </w:p>
        </w:tc>
        <w:tc>
          <w:tcPr>
            <w:tcW w:w="2729" w:type="dxa"/>
            <w:tcBorders>
              <w:tl2br w:val="nil"/>
              <w:tr2bl w:val="nil"/>
            </w:tcBorders>
            <w:shd w:val="clear" w:color="auto" w:fill="auto"/>
            <w:vAlign w:val="center"/>
          </w:tcPr>
          <w:p w14:paraId="1EC4C0F6">
            <w:pPr>
              <w:jc w:val="center"/>
              <w:rPr>
                <w:rFonts w:eastAsia="方正仿宋_GBK"/>
                <w:sz w:val="22"/>
              </w:rPr>
            </w:pPr>
            <w:r>
              <w:rPr>
                <w:rFonts w:eastAsia="方正仿宋_GBK"/>
                <w:sz w:val="22"/>
              </w:rPr>
              <w:t>市商务局</w:t>
            </w:r>
          </w:p>
        </w:tc>
        <w:tc>
          <w:tcPr>
            <w:tcW w:w="3698" w:type="dxa"/>
            <w:tcBorders>
              <w:tl2br w:val="nil"/>
              <w:tr2bl w:val="nil"/>
            </w:tcBorders>
            <w:shd w:val="clear" w:color="auto" w:fill="auto"/>
            <w:vAlign w:val="center"/>
          </w:tcPr>
          <w:p w14:paraId="646FFB61">
            <w:pPr>
              <w:autoSpaceDE w:val="0"/>
              <w:adjustRightInd w:val="0"/>
              <w:spacing w:beforeAutospacing="1" w:afterAutospacing="1" w:line="400" w:lineRule="exact"/>
              <w:jc w:val="center"/>
              <w:textAlignment w:val="baseline"/>
              <w:outlineLvl w:val="1"/>
              <w:rPr>
                <w:rFonts w:eastAsia="方正仿宋_GBK"/>
                <w:sz w:val="22"/>
              </w:rPr>
            </w:pPr>
            <w:bookmarkStart w:id="126" w:name="_Toc23780"/>
            <w:r>
              <w:rPr>
                <w:rFonts w:eastAsia="方正仿宋_GBK"/>
                <w:color w:val="000000"/>
                <w:sz w:val="22"/>
              </w:rPr>
              <w:t>市成品油供应中断事件应急指挥部</w:t>
            </w:r>
            <w:bookmarkEnd w:id="126"/>
          </w:p>
        </w:tc>
      </w:tr>
      <w:tr w14:paraId="400C7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39" w:type="dxa"/>
            <w:tcBorders>
              <w:tl2br w:val="nil"/>
              <w:tr2bl w:val="nil"/>
            </w:tcBorders>
            <w:shd w:val="clear" w:color="auto" w:fill="auto"/>
            <w:vAlign w:val="center"/>
          </w:tcPr>
          <w:p w14:paraId="2B6E8AEC">
            <w:pPr>
              <w:autoSpaceDE w:val="0"/>
              <w:adjustRightInd w:val="0"/>
              <w:spacing w:beforeAutospacing="1" w:afterAutospacing="1" w:line="400" w:lineRule="exact"/>
              <w:jc w:val="center"/>
              <w:textAlignment w:val="baseline"/>
              <w:outlineLvl w:val="1"/>
              <w:rPr>
                <w:rFonts w:eastAsia="方正仿宋_GBK"/>
                <w:sz w:val="22"/>
              </w:rPr>
            </w:pPr>
            <w:bookmarkStart w:id="127" w:name="_Toc29179"/>
            <w:r>
              <w:rPr>
                <w:rFonts w:eastAsia="方正仿宋_GBK"/>
                <w:color w:val="000000"/>
                <w:sz w:val="22"/>
              </w:rPr>
              <w:t>7</w:t>
            </w:r>
            <w:bookmarkEnd w:id="127"/>
          </w:p>
        </w:tc>
        <w:tc>
          <w:tcPr>
            <w:tcW w:w="1877" w:type="dxa"/>
            <w:tcBorders>
              <w:tl2br w:val="nil"/>
              <w:tr2bl w:val="nil"/>
            </w:tcBorders>
            <w:shd w:val="clear" w:color="auto" w:fill="auto"/>
            <w:vAlign w:val="center"/>
          </w:tcPr>
          <w:p w14:paraId="59D9FD0B">
            <w:pPr>
              <w:autoSpaceDE w:val="0"/>
              <w:adjustRightInd w:val="0"/>
              <w:spacing w:beforeAutospacing="1" w:afterAutospacing="1" w:line="400" w:lineRule="exact"/>
              <w:jc w:val="center"/>
              <w:textAlignment w:val="baseline"/>
              <w:outlineLvl w:val="1"/>
              <w:rPr>
                <w:rFonts w:eastAsia="方正仿宋_GBK"/>
                <w:sz w:val="22"/>
              </w:rPr>
            </w:pPr>
            <w:r>
              <w:rPr>
                <w:rFonts w:eastAsia="方正仿宋_GBK"/>
                <w:color w:val="000000"/>
                <w:sz w:val="22"/>
              </w:rPr>
              <w:t>燃气供应中断突发事件</w:t>
            </w:r>
          </w:p>
        </w:tc>
        <w:tc>
          <w:tcPr>
            <w:tcW w:w="2729" w:type="dxa"/>
            <w:tcBorders>
              <w:tl2br w:val="nil"/>
              <w:tr2bl w:val="nil"/>
            </w:tcBorders>
            <w:shd w:val="clear" w:color="auto" w:fill="auto"/>
            <w:vAlign w:val="center"/>
          </w:tcPr>
          <w:p w14:paraId="033F7FBC">
            <w:pPr>
              <w:autoSpaceDE w:val="0"/>
              <w:adjustRightInd w:val="0"/>
              <w:spacing w:beforeAutospacing="1" w:afterAutospacing="1" w:line="400" w:lineRule="exact"/>
              <w:jc w:val="center"/>
              <w:textAlignment w:val="baseline"/>
              <w:outlineLvl w:val="1"/>
              <w:rPr>
                <w:rFonts w:eastAsia="方正仿宋_GBK"/>
                <w:sz w:val="22"/>
              </w:rPr>
            </w:pPr>
            <w:r>
              <w:rPr>
                <w:rFonts w:eastAsia="方正仿宋_GBK"/>
                <w:bCs/>
                <w:color w:val="000000"/>
                <w:sz w:val="22"/>
              </w:rPr>
              <w:t>市住建局</w:t>
            </w:r>
          </w:p>
        </w:tc>
        <w:tc>
          <w:tcPr>
            <w:tcW w:w="3698" w:type="dxa"/>
            <w:tcBorders>
              <w:tl2br w:val="nil"/>
              <w:tr2bl w:val="nil"/>
            </w:tcBorders>
            <w:shd w:val="clear" w:color="auto" w:fill="auto"/>
            <w:vAlign w:val="center"/>
          </w:tcPr>
          <w:p w14:paraId="696A3629">
            <w:pPr>
              <w:autoSpaceDE w:val="0"/>
              <w:adjustRightInd w:val="0"/>
              <w:spacing w:beforeAutospacing="1" w:afterAutospacing="1" w:line="400" w:lineRule="exact"/>
              <w:jc w:val="center"/>
              <w:textAlignment w:val="baseline"/>
              <w:outlineLvl w:val="1"/>
              <w:rPr>
                <w:rFonts w:eastAsia="方正仿宋_GBK"/>
                <w:sz w:val="22"/>
              </w:rPr>
            </w:pPr>
            <w:r>
              <w:rPr>
                <w:rFonts w:eastAsia="方正仿宋_GBK"/>
                <w:color w:val="000000"/>
                <w:sz w:val="22"/>
              </w:rPr>
              <w:t>市燃气供应中断事件应急指挥部</w:t>
            </w:r>
          </w:p>
        </w:tc>
      </w:tr>
      <w:tr w14:paraId="41641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39" w:type="dxa"/>
            <w:tcBorders>
              <w:tl2br w:val="nil"/>
              <w:tr2bl w:val="nil"/>
            </w:tcBorders>
            <w:shd w:val="clear" w:color="auto" w:fill="auto"/>
            <w:vAlign w:val="center"/>
          </w:tcPr>
          <w:p w14:paraId="3F75CC40">
            <w:pPr>
              <w:autoSpaceDE w:val="0"/>
              <w:adjustRightInd w:val="0"/>
              <w:spacing w:beforeAutospacing="1" w:afterAutospacing="1" w:line="400" w:lineRule="exact"/>
              <w:jc w:val="center"/>
              <w:textAlignment w:val="baseline"/>
              <w:outlineLvl w:val="1"/>
              <w:rPr>
                <w:rFonts w:eastAsia="方正仿宋_GBK"/>
                <w:sz w:val="22"/>
              </w:rPr>
            </w:pPr>
            <w:r>
              <w:rPr>
                <w:rFonts w:eastAsia="方正仿宋_GBK"/>
                <w:color w:val="000000"/>
                <w:sz w:val="22"/>
              </w:rPr>
              <w:t>8</w:t>
            </w:r>
          </w:p>
        </w:tc>
        <w:tc>
          <w:tcPr>
            <w:tcW w:w="1877" w:type="dxa"/>
            <w:tcBorders>
              <w:tl2br w:val="nil"/>
              <w:tr2bl w:val="nil"/>
            </w:tcBorders>
            <w:shd w:val="clear" w:color="auto" w:fill="auto"/>
            <w:vAlign w:val="center"/>
          </w:tcPr>
          <w:p w14:paraId="15991502">
            <w:pPr>
              <w:autoSpaceDE w:val="0"/>
              <w:adjustRightInd w:val="0"/>
              <w:spacing w:beforeAutospacing="1" w:afterAutospacing="1" w:line="400" w:lineRule="exact"/>
              <w:jc w:val="center"/>
              <w:textAlignment w:val="baseline"/>
              <w:outlineLvl w:val="1"/>
              <w:rPr>
                <w:rFonts w:eastAsia="方正仿宋_GBK"/>
                <w:spacing w:val="-17"/>
                <w:sz w:val="22"/>
              </w:rPr>
            </w:pPr>
            <w:bookmarkStart w:id="128" w:name="_Toc363"/>
            <w:r>
              <w:rPr>
                <w:rFonts w:eastAsia="方正仿宋_GBK"/>
                <w:color w:val="000000"/>
                <w:spacing w:val="-17"/>
                <w:sz w:val="22"/>
              </w:rPr>
              <w:t>金融突发事件</w:t>
            </w:r>
            <w:bookmarkEnd w:id="128"/>
          </w:p>
        </w:tc>
        <w:tc>
          <w:tcPr>
            <w:tcW w:w="2729" w:type="dxa"/>
            <w:tcBorders>
              <w:tl2br w:val="nil"/>
              <w:tr2bl w:val="nil"/>
            </w:tcBorders>
            <w:shd w:val="clear" w:color="auto" w:fill="auto"/>
            <w:vAlign w:val="center"/>
          </w:tcPr>
          <w:p w14:paraId="0DBBB747">
            <w:pPr>
              <w:autoSpaceDE w:val="0"/>
              <w:adjustRightInd w:val="0"/>
              <w:spacing w:beforeAutospacing="1" w:afterAutospacing="1" w:line="400" w:lineRule="exact"/>
              <w:jc w:val="center"/>
              <w:textAlignment w:val="baseline"/>
              <w:outlineLvl w:val="1"/>
              <w:rPr>
                <w:rFonts w:eastAsia="方正仿宋_GBK"/>
                <w:sz w:val="22"/>
              </w:rPr>
            </w:pPr>
            <w:bookmarkStart w:id="129" w:name="_Toc8902"/>
            <w:r>
              <w:rPr>
                <w:rFonts w:eastAsia="方正仿宋_GBK"/>
                <w:color w:val="000000"/>
                <w:sz w:val="22"/>
              </w:rPr>
              <w:t>市金融</w:t>
            </w:r>
            <w:bookmarkEnd w:id="129"/>
            <w:r>
              <w:rPr>
                <w:rFonts w:eastAsia="方正仿宋_GBK"/>
                <w:color w:val="000000"/>
                <w:sz w:val="22"/>
              </w:rPr>
              <w:t>办</w:t>
            </w:r>
          </w:p>
        </w:tc>
        <w:tc>
          <w:tcPr>
            <w:tcW w:w="3698" w:type="dxa"/>
            <w:tcBorders>
              <w:tl2br w:val="nil"/>
              <w:tr2bl w:val="nil"/>
            </w:tcBorders>
            <w:shd w:val="clear" w:color="auto" w:fill="auto"/>
            <w:vAlign w:val="center"/>
          </w:tcPr>
          <w:p w14:paraId="4E9C5B61">
            <w:pPr>
              <w:autoSpaceDE w:val="0"/>
              <w:adjustRightInd w:val="0"/>
              <w:spacing w:beforeAutospacing="1" w:afterAutospacing="1" w:line="400" w:lineRule="exact"/>
              <w:jc w:val="center"/>
              <w:textAlignment w:val="baseline"/>
              <w:outlineLvl w:val="1"/>
              <w:rPr>
                <w:rFonts w:eastAsia="方正仿宋_GBK"/>
                <w:sz w:val="22"/>
              </w:rPr>
            </w:pPr>
            <w:bookmarkStart w:id="130" w:name="_Toc18621"/>
            <w:r>
              <w:rPr>
                <w:rFonts w:eastAsia="方正仿宋_GBK"/>
                <w:color w:val="000000"/>
                <w:sz w:val="22"/>
              </w:rPr>
              <w:t>市金融突发事件应急指挥部</w:t>
            </w:r>
            <w:bookmarkEnd w:id="130"/>
          </w:p>
        </w:tc>
      </w:tr>
      <w:tr w14:paraId="0207E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9" w:type="dxa"/>
            <w:tcBorders>
              <w:tl2br w:val="nil"/>
              <w:tr2bl w:val="nil"/>
            </w:tcBorders>
            <w:shd w:val="clear" w:color="auto" w:fill="auto"/>
            <w:vAlign w:val="center"/>
          </w:tcPr>
          <w:p w14:paraId="4AA78F30">
            <w:pPr>
              <w:autoSpaceDE w:val="0"/>
              <w:adjustRightInd w:val="0"/>
              <w:spacing w:beforeAutospacing="1" w:afterAutospacing="1" w:line="400" w:lineRule="exact"/>
              <w:jc w:val="center"/>
              <w:textAlignment w:val="baseline"/>
              <w:outlineLvl w:val="1"/>
              <w:rPr>
                <w:rFonts w:eastAsia="方正仿宋_GBK"/>
                <w:sz w:val="22"/>
              </w:rPr>
            </w:pPr>
            <w:r>
              <w:rPr>
                <w:rFonts w:eastAsia="方正仿宋_GBK"/>
                <w:color w:val="000000"/>
                <w:sz w:val="22"/>
              </w:rPr>
              <w:t>9</w:t>
            </w:r>
          </w:p>
        </w:tc>
        <w:tc>
          <w:tcPr>
            <w:tcW w:w="1877" w:type="dxa"/>
            <w:tcBorders>
              <w:tl2br w:val="nil"/>
              <w:tr2bl w:val="nil"/>
            </w:tcBorders>
            <w:shd w:val="clear" w:color="auto" w:fill="auto"/>
            <w:vAlign w:val="center"/>
          </w:tcPr>
          <w:p w14:paraId="0ECE7B55">
            <w:pPr>
              <w:autoSpaceDE w:val="0"/>
              <w:adjustRightInd w:val="0"/>
              <w:spacing w:beforeAutospacing="1" w:afterAutospacing="1" w:line="400" w:lineRule="exact"/>
              <w:jc w:val="center"/>
              <w:textAlignment w:val="baseline"/>
              <w:outlineLvl w:val="1"/>
              <w:rPr>
                <w:rFonts w:eastAsia="方正仿宋_GBK"/>
                <w:spacing w:val="-17"/>
                <w:sz w:val="22"/>
              </w:rPr>
            </w:pPr>
            <w:bookmarkStart w:id="131" w:name="_Toc1888"/>
            <w:r>
              <w:rPr>
                <w:rFonts w:eastAsia="方正仿宋_GBK"/>
                <w:color w:val="000000"/>
                <w:spacing w:val="-17"/>
                <w:sz w:val="22"/>
              </w:rPr>
              <w:t>涉外突发事件</w:t>
            </w:r>
            <w:bookmarkEnd w:id="131"/>
          </w:p>
        </w:tc>
        <w:tc>
          <w:tcPr>
            <w:tcW w:w="2729" w:type="dxa"/>
            <w:tcBorders>
              <w:tl2br w:val="nil"/>
              <w:tr2bl w:val="nil"/>
            </w:tcBorders>
            <w:shd w:val="clear" w:color="auto" w:fill="auto"/>
            <w:vAlign w:val="center"/>
          </w:tcPr>
          <w:p w14:paraId="22D4DB7F">
            <w:pPr>
              <w:autoSpaceDE w:val="0"/>
              <w:adjustRightInd w:val="0"/>
              <w:spacing w:beforeAutospacing="1" w:afterAutospacing="1" w:line="400" w:lineRule="exact"/>
              <w:jc w:val="center"/>
              <w:textAlignment w:val="baseline"/>
              <w:outlineLvl w:val="1"/>
              <w:rPr>
                <w:rFonts w:eastAsia="方正仿宋_GBK"/>
                <w:sz w:val="22"/>
              </w:rPr>
            </w:pPr>
            <w:bookmarkStart w:id="132" w:name="_Toc15276"/>
            <w:r>
              <w:rPr>
                <w:rFonts w:eastAsia="方正仿宋_GBK"/>
                <w:color w:val="000000"/>
                <w:sz w:val="22"/>
              </w:rPr>
              <w:t>市</w:t>
            </w:r>
            <w:bookmarkEnd w:id="132"/>
            <w:r>
              <w:rPr>
                <w:rFonts w:eastAsia="方正仿宋_GBK"/>
                <w:color w:val="000000"/>
                <w:sz w:val="22"/>
              </w:rPr>
              <w:t>外事</w:t>
            </w:r>
            <w:r>
              <w:rPr>
                <w:rFonts w:hint="eastAsia" w:eastAsia="方正仿宋_GBK"/>
                <w:color w:val="000000"/>
                <w:sz w:val="22"/>
              </w:rPr>
              <w:t>办公室</w:t>
            </w:r>
          </w:p>
        </w:tc>
        <w:tc>
          <w:tcPr>
            <w:tcW w:w="3698" w:type="dxa"/>
            <w:tcBorders>
              <w:tl2br w:val="nil"/>
              <w:tr2bl w:val="nil"/>
            </w:tcBorders>
            <w:shd w:val="clear" w:color="auto" w:fill="auto"/>
            <w:vAlign w:val="center"/>
          </w:tcPr>
          <w:p w14:paraId="648ADAE7">
            <w:pPr>
              <w:autoSpaceDE w:val="0"/>
              <w:adjustRightInd w:val="0"/>
              <w:spacing w:beforeAutospacing="1" w:afterAutospacing="1" w:line="400" w:lineRule="exact"/>
              <w:jc w:val="center"/>
              <w:textAlignment w:val="baseline"/>
              <w:outlineLvl w:val="1"/>
              <w:rPr>
                <w:rFonts w:eastAsia="方正仿宋_GBK"/>
                <w:sz w:val="22"/>
              </w:rPr>
            </w:pPr>
            <w:bookmarkStart w:id="133" w:name="_Toc8824"/>
            <w:r>
              <w:rPr>
                <w:rFonts w:eastAsia="方正仿宋_GBK"/>
                <w:color w:val="000000"/>
                <w:sz w:val="22"/>
              </w:rPr>
              <w:t>市涉外突发事件应急指挥部</w:t>
            </w:r>
            <w:bookmarkEnd w:id="133"/>
          </w:p>
        </w:tc>
      </w:tr>
      <w:tr w14:paraId="67C2E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39" w:type="dxa"/>
            <w:tcBorders>
              <w:tl2br w:val="nil"/>
              <w:tr2bl w:val="nil"/>
            </w:tcBorders>
            <w:shd w:val="clear" w:color="auto" w:fill="auto"/>
            <w:vAlign w:val="center"/>
          </w:tcPr>
          <w:p w14:paraId="19AE0656">
            <w:pPr>
              <w:autoSpaceDE w:val="0"/>
              <w:adjustRightInd w:val="0"/>
              <w:spacing w:beforeAutospacing="1" w:afterAutospacing="1" w:line="400" w:lineRule="exact"/>
              <w:jc w:val="center"/>
              <w:textAlignment w:val="baseline"/>
              <w:outlineLvl w:val="1"/>
              <w:rPr>
                <w:rFonts w:eastAsia="方正仿宋_GBK"/>
                <w:sz w:val="22"/>
              </w:rPr>
            </w:pPr>
            <w:r>
              <w:rPr>
                <w:rFonts w:eastAsia="方正仿宋_GBK"/>
                <w:color w:val="000000"/>
                <w:sz w:val="22"/>
              </w:rPr>
              <w:t>10</w:t>
            </w:r>
          </w:p>
        </w:tc>
        <w:tc>
          <w:tcPr>
            <w:tcW w:w="1877" w:type="dxa"/>
            <w:tcBorders>
              <w:tl2br w:val="nil"/>
              <w:tr2bl w:val="nil"/>
            </w:tcBorders>
            <w:shd w:val="clear" w:color="auto" w:fill="auto"/>
            <w:vAlign w:val="center"/>
          </w:tcPr>
          <w:p w14:paraId="44C055B5">
            <w:pPr>
              <w:autoSpaceDE w:val="0"/>
              <w:adjustRightInd w:val="0"/>
              <w:spacing w:beforeAutospacing="1" w:afterAutospacing="1" w:line="400" w:lineRule="exact"/>
              <w:jc w:val="center"/>
              <w:textAlignment w:val="baseline"/>
              <w:outlineLvl w:val="1"/>
              <w:rPr>
                <w:rFonts w:eastAsia="方正仿宋_GBK"/>
                <w:spacing w:val="-17"/>
                <w:sz w:val="22"/>
              </w:rPr>
            </w:pPr>
            <w:bookmarkStart w:id="134" w:name="_Toc27862"/>
            <w:r>
              <w:rPr>
                <w:rFonts w:eastAsia="方正仿宋_GBK"/>
                <w:color w:val="000000"/>
                <w:spacing w:val="-17"/>
                <w:sz w:val="22"/>
              </w:rPr>
              <w:t>民族宗教事件</w:t>
            </w:r>
            <w:bookmarkEnd w:id="134"/>
          </w:p>
        </w:tc>
        <w:tc>
          <w:tcPr>
            <w:tcW w:w="2729" w:type="dxa"/>
            <w:tcBorders>
              <w:tl2br w:val="nil"/>
              <w:tr2bl w:val="nil"/>
            </w:tcBorders>
            <w:shd w:val="clear" w:color="auto" w:fill="auto"/>
            <w:vAlign w:val="center"/>
          </w:tcPr>
          <w:p w14:paraId="42809875">
            <w:pPr>
              <w:autoSpaceDE w:val="0"/>
              <w:adjustRightInd w:val="0"/>
              <w:spacing w:beforeAutospacing="1" w:afterAutospacing="1" w:line="400" w:lineRule="exact"/>
              <w:jc w:val="center"/>
              <w:textAlignment w:val="baseline"/>
              <w:outlineLvl w:val="1"/>
              <w:rPr>
                <w:rFonts w:eastAsia="方正仿宋_GBK"/>
                <w:sz w:val="22"/>
              </w:rPr>
            </w:pPr>
            <w:bookmarkStart w:id="135" w:name="_Toc24509"/>
            <w:r>
              <w:rPr>
                <w:rFonts w:eastAsia="方正仿宋_GBK"/>
                <w:color w:val="000000"/>
                <w:sz w:val="22"/>
              </w:rPr>
              <w:t>市委统战部、</w:t>
            </w:r>
            <w:bookmarkEnd w:id="135"/>
            <w:r>
              <w:rPr>
                <w:rFonts w:eastAsia="方正仿宋_GBK"/>
                <w:color w:val="000000"/>
                <w:sz w:val="22"/>
              </w:rPr>
              <w:t>（市民宗局）</w:t>
            </w:r>
          </w:p>
        </w:tc>
        <w:tc>
          <w:tcPr>
            <w:tcW w:w="3698" w:type="dxa"/>
            <w:tcBorders>
              <w:tl2br w:val="nil"/>
              <w:tr2bl w:val="nil"/>
            </w:tcBorders>
            <w:shd w:val="clear" w:color="auto" w:fill="auto"/>
            <w:vAlign w:val="center"/>
          </w:tcPr>
          <w:p w14:paraId="4B7190B1">
            <w:pPr>
              <w:autoSpaceDE w:val="0"/>
              <w:adjustRightInd w:val="0"/>
              <w:spacing w:beforeAutospacing="1" w:afterAutospacing="1" w:line="400" w:lineRule="exact"/>
              <w:jc w:val="center"/>
              <w:textAlignment w:val="baseline"/>
              <w:outlineLvl w:val="1"/>
              <w:rPr>
                <w:rFonts w:eastAsia="方正仿宋_GBK"/>
                <w:sz w:val="22"/>
              </w:rPr>
            </w:pPr>
            <w:bookmarkStart w:id="136" w:name="_Toc9326"/>
            <w:r>
              <w:rPr>
                <w:rFonts w:eastAsia="方正仿宋_GBK"/>
                <w:color w:val="000000"/>
                <w:sz w:val="22"/>
              </w:rPr>
              <w:t>市民族宗教事件应急指挥部</w:t>
            </w:r>
            <w:bookmarkEnd w:id="136"/>
          </w:p>
        </w:tc>
      </w:tr>
      <w:tr w14:paraId="5F8C5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9" w:type="dxa"/>
            <w:tcBorders>
              <w:tl2br w:val="nil"/>
              <w:tr2bl w:val="nil"/>
            </w:tcBorders>
            <w:shd w:val="clear" w:color="auto" w:fill="auto"/>
            <w:vAlign w:val="center"/>
          </w:tcPr>
          <w:p w14:paraId="5ECC0A74">
            <w:pPr>
              <w:autoSpaceDE w:val="0"/>
              <w:adjustRightInd w:val="0"/>
              <w:spacing w:beforeAutospacing="1" w:afterAutospacing="1" w:line="400" w:lineRule="exact"/>
              <w:jc w:val="center"/>
              <w:textAlignment w:val="baseline"/>
              <w:outlineLvl w:val="1"/>
              <w:rPr>
                <w:rFonts w:eastAsia="方正仿宋_GBK"/>
                <w:sz w:val="22"/>
              </w:rPr>
            </w:pPr>
            <w:bookmarkStart w:id="137" w:name="_Toc24689"/>
            <w:r>
              <w:rPr>
                <w:rFonts w:eastAsia="方正仿宋_GBK"/>
                <w:color w:val="000000"/>
                <w:sz w:val="22"/>
              </w:rPr>
              <w:t>1</w:t>
            </w:r>
            <w:bookmarkEnd w:id="137"/>
            <w:r>
              <w:rPr>
                <w:rFonts w:eastAsia="方正仿宋_GBK"/>
                <w:color w:val="000000"/>
                <w:sz w:val="22"/>
              </w:rPr>
              <w:t>1</w:t>
            </w:r>
          </w:p>
        </w:tc>
        <w:tc>
          <w:tcPr>
            <w:tcW w:w="1877" w:type="dxa"/>
            <w:tcBorders>
              <w:tl2br w:val="nil"/>
              <w:tr2bl w:val="nil"/>
            </w:tcBorders>
            <w:shd w:val="clear" w:color="auto" w:fill="auto"/>
            <w:vAlign w:val="center"/>
          </w:tcPr>
          <w:p w14:paraId="4A324C69">
            <w:pPr>
              <w:autoSpaceDE w:val="0"/>
              <w:adjustRightInd w:val="0"/>
              <w:spacing w:beforeAutospacing="1" w:afterAutospacing="1" w:line="400" w:lineRule="exact"/>
              <w:jc w:val="center"/>
              <w:textAlignment w:val="baseline"/>
              <w:outlineLvl w:val="1"/>
              <w:rPr>
                <w:rFonts w:eastAsia="方正仿宋_GBK"/>
                <w:spacing w:val="-17"/>
                <w:sz w:val="22"/>
              </w:rPr>
            </w:pPr>
            <w:bookmarkStart w:id="138" w:name="_Toc9572"/>
            <w:r>
              <w:rPr>
                <w:rFonts w:eastAsia="方正仿宋_GBK"/>
                <w:color w:val="000000"/>
                <w:spacing w:val="-17"/>
                <w:sz w:val="22"/>
              </w:rPr>
              <w:t>舆情突发事件</w:t>
            </w:r>
            <w:bookmarkEnd w:id="138"/>
          </w:p>
        </w:tc>
        <w:tc>
          <w:tcPr>
            <w:tcW w:w="2729" w:type="dxa"/>
            <w:tcBorders>
              <w:tl2br w:val="nil"/>
              <w:tr2bl w:val="nil"/>
            </w:tcBorders>
            <w:shd w:val="clear" w:color="auto" w:fill="auto"/>
            <w:vAlign w:val="center"/>
          </w:tcPr>
          <w:p w14:paraId="2A2B4E18">
            <w:pPr>
              <w:autoSpaceDE w:val="0"/>
              <w:adjustRightInd w:val="0"/>
              <w:spacing w:beforeAutospacing="1" w:afterAutospacing="1" w:line="400" w:lineRule="exact"/>
              <w:jc w:val="center"/>
              <w:textAlignment w:val="baseline"/>
              <w:outlineLvl w:val="1"/>
              <w:rPr>
                <w:rFonts w:eastAsia="方正仿宋_GBK"/>
                <w:sz w:val="22"/>
              </w:rPr>
            </w:pPr>
            <w:bookmarkStart w:id="139" w:name="_Toc6750"/>
            <w:r>
              <w:rPr>
                <w:rFonts w:eastAsia="方正仿宋_GBK"/>
                <w:color w:val="000000"/>
                <w:sz w:val="22"/>
              </w:rPr>
              <w:t>市委宣传部</w:t>
            </w:r>
            <w:bookmarkEnd w:id="139"/>
          </w:p>
        </w:tc>
        <w:tc>
          <w:tcPr>
            <w:tcW w:w="3698" w:type="dxa"/>
            <w:tcBorders>
              <w:tl2br w:val="nil"/>
              <w:tr2bl w:val="nil"/>
            </w:tcBorders>
            <w:shd w:val="clear" w:color="auto" w:fill="auto"/>
            <w:vAlign w:val="center"/>
          </w:tcPr>
          <w:p w14:paraId="02C17A80">
            <w:pPr>
              <w:autoSpaceDE w:val="0"/>
              <w:adjustRightInd w:val="0"/>
              <w:spacing w:beforeAutospacing="1" w:afterAutospacing="1" w:line="400" w:lineRule="exact"/>
              <w:jc w:val="center"/>
              <w:textAlignment w:val="baseline"/>
              <w:outlineLvl w:val="1"/>
              <w:rPr>
                <w:rFonts w:eastAsia="方正仿宋_GBK"/>
                <w:sz w:val="22"/>
              </w:rPr>
            </w:pPr>
            <w:bookmarkStart w:id="140" w:name="_Toc18639"/>
            <w:r>
              <w:rPr>
                <w:rFonts w:eastAsia="方正仿宋_GBK"/>
                <w:color w:val="000000"/>
                <w:sz w:val="22"/>
              </w:rPr>
              <w:t>市舆情突发事件应急指挥部</w:t>
            </w:r>
            <w:bookmarkEnd w:id="140"/>
          </w:p>
        </w:tc>
      </w:tr>
      <w:bookmarkEnd w:id="81"/>
    </w:tbl>
    <w:p w14:paraId="10F798F5">
      <w:pPr>
        <w:spacing w:line="560" w:lineRule="exact"/>
        <w:jc w:val="left"/>
      </w:pPr>
    </w:p>
    <w:sectPr>
      <w:footerReference r:id="rId5" w:type="default"/>
      <w:footerReference r:id="rId6" w:type="even"/>
      <w:pgSz w:w="11906" w:h="16838"/>
      <w:pgMar w:top="2041" w:right="1531" w:bottom="2041" w:left="1531" w:header="851" w:footer="1673" w:gutter="0"/>
      <w:pgNumType w:start="1"/>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380B7">
    <w:pPr>
      <w:pStyle w:val="7"/>
      <w:jc w:val="right"/>
    </w:pPr>
  </w:p>
  <w:p w14:paraId="1F2E225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358548"/>
      <w:docPartObj>
        <w:docPartGallery w:val="AutoText"/>
      </w:docPartObj>
    </w:sdtPr>
    <w:sdtContent>
      <w:p w14:paraId="15E31BF9">
        <w:pPr>
          <w:pStyle w:val="7"/>
          <w:jc w:val="right"/>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44FEA">
    <w:pPr>
      <w:pStyle w:val="7"/>
      <w:jc w:val="right"/>
    </w:pPr>
    <w:r>
      <w:rPr>
        <w:sz w:val="28"/>
      </w:rPr>
      <w:t>—</w:t>
    </w:r>
    <w:r>
      <w:rPr>
        <w:sz w:val="28"/>
      </w:rPr>
      <w:fldChar w:fldCharType="begin"/>
    </w:r>
    <w:r>
      <w:rPr>
        <w:sz w:val="28"/>
      </w:rPr>
      <w:instrText xml:space="preserve"> PAGE   \* MERGEFORMAT </w:instrText>
    </w:r>
    <w:r>
      <w:rPr>
        <w:sz w:val="28"/>
      </w:rPr>
      <w:fldChar w:fldCharType="separate"/>
    </w:r>
    <w:r>
      <w:rPr>
        <w:sz w:val="28"/>
        <w:lang w:val="zh-CN"/>
      </w:rPr>
      <w:t>37</w:t>
    </w:r>
    <w:r>
      <w:rPr>
        <w:sz w:val="28"/>
      </w:rPr>
      <w:fldChar w:fldCharType="end"/>
    </w:r>
    <w:r>
      <w:rPr>
        <w:sz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ED85D">
    <w:pPr>
      <w:pStyle w:val="7"/>
    </w:pPr>
    <w:r>
      <w:rPr>
        <w:sz w:val="28"/>
      </w:rPr>
      <w:t>—</w:t>
    </w:r>
    <w:r>
      <w:rPr>
        <w:sz w:val="28"/>
      </w:rPr>
      <w:fldChar w:fldCharType="begin"/>
    </w:r>
    <w:r>
      <w:rPr>
        <w:sz w:val="28"/>
      </w:rPr>
      <w:instrText xml:space="preserve"> PAGE   \* MERGEFORMAT </w:instrText>
    </w:r>
    <w:r>
      <w:rPr>
        <w:sz w:val="28"/>
      </w:rPr>
      <w:fldChar w:fldCharType="separate"/>
    </w:r>
    <w:r>
      <w:rPr>
        <w:sz w:val="28"/>
        <w:lang w:val="zh-CN"/>
      </w:rPr>
      <w:t>36</w:t>
    </w:r>
    <w:r>
      <w:rPr>
        <w:sz w:val="28"/>
      </w:rPr>
      <w:fldChar w:fldCharType="end"/>
    </w:r>
    <w:r>
      <w:rPr>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evenAndOddHeaders w:val="1"/>
  <w:drawingGridHorizontalSpacing w:val="105"/>
  <w:drawingGridVerticalSpacing w:val="31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FE9"/>
    <w:rsid w:val="00001759"/>
    <w:rsid w:val="00023C02"/>
    <w:rsid w:val="0004044E"/>
    <w:rsid w:val="000609D5"/>
    <w:rsid w:val="00090E92"/>
    <w:rsid w:val="00095213"/>
    <w:rsid w:val="000A713C"/>
    <w:rsid w:val="000A761B"/>
    <w:rsid w:val="000B2A2D"/>
    <w:rsid w:val="000B5E18"/>
    <w:rsid w:val="000D481D"/>
    <w:rsid w:val="000E2D33"/>
    <w:rsid w:val="0012152C"/>
    <w:rsid w:val="00125E58"/>
    <w:rsid w:val="0013221B"/>
    <w:rsid w:val="00167241"/>
    <w:rsid w:val="001706B3"/>
    <w:rsid w:val="001766EC"/>
    <w:rsid w:val="001A0F2A"/>
    <w:rsid w:val="001B3EF6"/>
    <w:rsid w:val="001B4B8F"/>
    <w:rsid w:val="001B7B0A"/>
    <w:rsid w:val="001E3061"/>
    <w:rsid w:val="001F2E5E"/>
    <w:rsid w:val="001F7B0B"/>
    <w:rsid w:val="00220F4F"/>
    <w:rsid w:val="00226FBC"/>
    <w:rsid w:val="0023047F"/>
    <w:rsid w:val="00231666"/>
    <w:rsid w:val="00241B2B"/>
    <w:rsid w:val="00242344"/>
    <w:rsid w:val="002556D1"/>
    <w:rsid w:val="00257D26"/>
    <w:rsid w:val="00275AE3"/>
    <w:rsid w:val="00286E40"/>
    <w:rsid w:val="002B6AA1"/>
    <w:rsid w:val="002D0B03"/>
    <w:rsid w:val="002E0C78"/>
    <w:rsid w:val="002E117C"/>
    <w:rsid w:val="002E12C3"/>
    <w:rsid w:val="002E1484"/>
    <w:rsid w:val="002F0CF6"/>
    <w:rsid w:val="003013BF"/>
    <w:rsid w:val="00304290"/>
    <w:rsid w:val="00307256"/>
    <w:rsid w:val="00314C1A"/>
    <w:rsid w:val="00315E46"/>
    <w:rsid w:val="00346898"/>
    <w:rsid w:val="00346F4B"/>
    <w:rsid w:val="00382593"/>
    <w:rsid w:val="003A2D87"/>
    <w:rsid w:val="003A3BBC"/>
    <w:rsid w:val="003A5EEC"/>
    <w:rsid w:val="003D0672"/>
    <w:rsid w:val="003D7485"/>
    <w:rsid w:val="003E3CAA"/>
    <w:rsid w:val="003F118B"/>
    <w:rsid w:val="00405437"/>
    <w:rsid w:val="00405460"/>
    <w:rsid w:val="0041568A"/>
    <w:rsid w:val="0046460E"/>
    <w:rsid w:val="00476857"/>
    <w:rsid w:val="00486172"/>
    <w:rsid w:val="004C3960"/>
    <w:rsid w:val="004C532C"/>
    <w:rsid w:val="004D44BE"/>
    <w:rsid w:val="004D63C6"/>
    <w:rsid w:val="004E5DB5"/>
    <w:rsid w:val="004F1982"/>
    <w:rsid w:val="00507341"/>
    <w:rsid w:val="00516E40"/>
    <w:rsid w:val="00522A89"/>
    <w:rsid w:val="00570EE9"/>
    <w:rsid w:val="005B2980"/>
    <w:rsid w:val="005C44B6"/>
    <w:rsid w:val="005C4820"/>
    <w:rsid w:val="005D499D"/>
    <w:rsid w:val="005E1D5A"/>
    <w:rsid w:val="005E5DB2"/>
    <w:rsid w:val="005F612C"/>
    <w:rsid w:val="00600DE3"/>
    <w:rsid w:val="00630FE9"/>
    <w:rsid w:val="00637880"/>
    <w:rsid w:val="00640019"/>
    <w:rsid w:val="00643BDB"/>
    <w:rsid w:val="0065194C"/>
    <w:rsid w:val="00655753"/>
    <w:rsid w:val="00657C44"/>
    <w:rsid w:val="00674FD1"/>
    <w:rsid w:val="006772E0"/>
    <w:rsid w:val="00690C3C"/>
    <w:rsid w:val="006928BA"/>
    <w:rsid w:val="006A10FD"/>
    <w:rsid w:val="006A3DA5"/>
    <w:rsid w:val="006A7B00"/>
    <w:rsid w:val="006D0EAB"/>
    <w:rsid w:val="006E75FE"/>
    <w:rsid w:val="00712822"/>
    <w:rsid w:val="0071791D"/>
    <w:rsid w:val="007210B6"/>
    <w:rsid w:val="007217BB"/>
    <w:rsid w:val="007408B1"/>
    <w:rsid w:val="00755009"/>
    <w:rsid w:val="007927F1"/>
    <w:rsid w:val="007A2BD5"/>
    <w:rsid w:val="007A572B"/>
    <w:rsid w:val="007B1518"/>
    <w:rsid w:val="007C033C"/>
    <w:rsid w:val="007C4476"/>
    <w:rsid w:val="007C687C"/>
    <w:rsid w:val="007D2894"/>
    <w:rsid w:val="00807B91"/>
    <w:rsid w:val="00817D1B"/>
    <w:rsid w:val="00822821"/>
    <w:rsid w:val="00822917"/>
    <w:rsid w:val="008231F7"/>
    <w:rsid w:val="0083660F"/>
    <w:rsid w:val="00842D74"/>
    <w:rsid w:val="0085091E"/>
    <w:rsid w:val="008564AD"/>
    <w:rsid w:val="008570FD"/>
    <w:rsid w:val="00886ED4"/>
    <w:rsid w:val="00895BA1"/>
    <w:rsid w:val="008A6414"/>
    <w:rsid w:val="008B54A3"/>
    <w:rsid w:val="008D211F"/>
    <w:rsid w:val="008E0C03"/>
    <w:rsid w:val="008E4D40"/>
    <w:rsid w:val="008E7801"/>
    <w:rsid w:val="008F2AFD"/>
    <w:rsid w:val="008F7D1E"/>
    <w:rsid w:val="00934885"/>
    <w:rsid w:val="00936D81"/>
    <w:rsid w:val="00946F25"/>
    <w:rsid w:val="00946F37"/>
    <w:rsid w:val="0097047A"/>
    <w:rsid w:val="00970B3F"/>
    <w:rsid w:val="0097560D"/>
    <w:rsid w:val="009811A5"/>
    <w:rsid w:val="00991D14"/>
    <w:rsid w:val="009925D3"/>
    <w:rsid w:val="009968B5"/>
    <w:rsid w:val="009C3969"/>
    <w:rsid w:val="009D25F6"/>
    <w:rsid w:val="009F25EA"/>
    <w:rsid w:val="00A114B9"/>
    <w:rsid w:val="00A171FC"/>
    <w:rsid w:val="00A23235"/>
    <w:rsid w:val="00A45F3D"/>
    <w:rsid w:val="00A65288"/>
    <w:rsid w:val="00A75659"/>
    <w:rsid w:val="00A800EE"/>
    <w:rsid w:val="00A812A8"/>
    <w:rsid w:val="00AB31C1"/>
    <w:rsid w:val="00AC0517"/>
    <w:rsid w:val="00AD5F43"/>
    <w:rsid w:val="00AE57CB"/>
    <w:rsid w:val="00B15408"/>
    <w:rsid w:val="00B17834"/>
    <w:rsid w:val="00B26626"/>
    <w:rsid w:val="00B32A13"/>
    <w:rsid w:val="00B400A3"/>
    <w:rsid w:val="00B473F5"/>
    <w:rsid w:val="00B54CCF"/>
    <w:rsid w:val="00B56A87"/>
    <w:rsid w:val="00B636EC"/>
    <w:rsid w:val="00B85254"/>
    <w:rsid w:val="00B954C7"/>
    <w:rsid w:val="00B96668"/>
    <w:rsid w:val="00BA0CD9"/>
    <w:rsid w:val="00BB538A"/>
    <w:rsid w:val="00BC2C97"/>
    <w:rsid w:val="00BC3361"/>
    <w:rsid w:val="00BF26E3"/>
    <w:rsid w:val="00C1272B"/>
    <w:rsid w:val="00C3006E"/>
    <w:rsid w:val="00C344A7"/>
    <w:rsid w:val="00C7177A"/>
    <w:rsid w:val="00C83EB3"/>
    <w:rsid w:val="00C978B6"/>
    <w:rsid w:val="00CA4A90"/>
    <w:rsid w:val="00CA6C8E"/>
    <w:rsid w:val="00CB0C6A"/>
    <w:rsid w:val="00CB509D"/>
    <w:rsid w:val="00CD048E"/>
    <w:rsid w:val="00CD5704"/>
    <w:rsid w:val="00CE18DA"/>
    <w:rsid w:val="00CF4744"/>
    <w:rsid w:val="00D33AE2"/>
    <w:rsid w:val="00D43C6C"/>
    <w:rsid w:val="00D475C6"/>
    <w:rsid w:val="00D54D42"/>
    <w:rsid w:val="00D629D3"/>
    <w:rsid w:val="00D862D8"/>
    <w:rsid w:val="00D9126F"/>
    <w:rsid w:val="00D92515"/>
    <w:rsid w:val="00D96097"/>
    <w:rsid w:val="00DA078A"/>
    <w:rsid w:val="00DA7831"/>
    <w:rsid w:val="00DC2818"/>
    <w:rsid w:val="00DD4773"/>
    <w:rsid w:val="00DE3273"/>
    <w:rsid w:val="00DF6EC0"/>
    <w:rsid w:val="00E03256"/>
    <w:rsid w:val="00E03450"/>
    <w:rsid w:val="00E06572"/>
    <w:rsid w:val="00E2743A"/>
    <w:rsid w:val="00E43602"/>
    <w:rsid w:val="00E46F75"/>
    <w:rsid w:val="00E636D4"/>
    <w:rsid w:val="00E76D23"/>
    <w:rsid w:val="00EE12B2"/>
    <w:rsid w:val="00EE3710"/>
    <w:rsid w:val="00F03BEC"/>
    <w:rsid w:val="00F0684B"/>
    <w:rsid w:val="00F1178E"/>
    <w:rsid w:val="00F150F4"/>
    <w:rsid w:val="00F177C7"/>
    <w:rsid w:val="00F262F1"/>
    <w:rsid w:val="00F36E68"/>
    <w:rsid w:val="00F379FF"/>
    <w:rsid w:val="00F40D73"/>
    <w:rsid w:val="00F432FC"/>
    <w:rsid w:val="00F505A9"/>
    <w:rsid w:val="00F73A0C"/>
    <w:rsid w:val="00F8228F"/>
    <w:rsid w:val="00F8397F"/>
    <w:rsid w:val="00F94E4B"/>
    <w:rsid w:val="00F97589"/>
    <w:rsid w:val="00FA10C6"/>
    <w:rsid w:val="00FB1536"/>
    <w:rsid w:val="00FB2305"/>
    <w:rsid w:val="00FD00B1"/>
    <w:rsid w:val="00FD5353"/>
    <w:rsid w:val="0C064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8"/>
    <w:qFormat/>
    <w:uiPriority w:val="0"/>
    <w:pPr>
      <w:spacing w:before="100" w:beforeAutospacing="1" w:after="100" w:afterAutospacing="1"/>
      <w:jc w:val="left"/>
      <w:outlineLvl w:val="2"/>
    </w:pPr>
    <w:rPr>
      <w:rFonts w:ascii="宋体" w:hAnsi="Calibri"/>
      <w:b/>
      <w:kern w:val="0"/>
      <w:sz w:val="27"/>
      <w:szCs w:val="27"/>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7"/>
    <w:qFormat/>
    <w:uiPriority w:val="0"/>
    <w:pPr>
      <w:spacing w:after="120"/>
      <w:jc w:val="left"/>
    </w:pPr>
    <w:rPr>
      <w:rFonts w:ascii="Calibri" w:hAnsi="Calibri"/>
      <w:sz w:val="28"/>
    </w:rPr>
  </w:style>
  <w:style w:type="paragraph" w:styleId="4">
    <w:name w:val="toc 1"/>
    <w:basedOn w:val="1"/>
    <w:next w:val="1"/>
    <w:qFormat/>
    <w:uiPriority w:val="0"/>
    <w:pPr>
      <w:jc w:val="left"/>
    </w:pPr>
    <w:rPr>
      <w:rFonts w:ascii="Calibri" w:hAnsi="Calibri"/>
      <w:sz w:val="28"/>
    </w:rPr>
  </w:style>
  <w:style w:type="paragraph" w:styleId="5">
    <w:name w:val="Date"/>
    <w:basedOn w:val="1"/>
    <w:next w:val="1"/>
    <w:uiPriority w:val="0"/>
    <w:pPr>
      <w:ind w:left="100" w:leftChars="2500"/>
    </w:pPr>
  </w:style>
  <w:style w:type="paragraph" w:styleId="6">
    <w:name w:val="Balloon Text"/>
    <w:basedOn w:val="1"/>
    <w:semiHidden/>
    <w:uiPriority w:val="0"/>
    <w:rPr>
      <w:sz w:val="18"/>
      <w:szCs w:val="18"/>
    </w:rPr>
  </w:style>
  <w:style w:type="paragraph" w:styleId="7">
    <w:name w:val="footer"/>
    <w:basedOn w:val="1"/>
    <w:link w:val="16"/>
    <w:uiPriority w:val="99"/>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uiPriority w:val="0"/>
  </w:style>
  <w:style w:type="paragraph" w:customStyle="1" w:styleId="12">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Char Char3"/>
    <w:basedOn w:val="1"/>
    <w:qFormat/>
    <w:uiPriority w:val="0"/>
    <w:pPr>
      <w:widowControl/>
      <w:spacing w:after="160" w:line="240" w:lineRule="exact"/>
      <w:jc w:val="left"/>
    </w:pPr>
    <w:rPr>
      <w:rFonts w:ascii="Verdana" w:hAnsi="Verdana" w:eastAsia="仿宋_GB2312" w:cs="Verdana"/>
      <w:kern w:val="0"/>
      <w:sz w:val="20"/>
      <w:szCs w:val="20"/>
      <w:lang w:eastAsia="en-US"/>
    </w:rPr>
  </w:style>
  <w:style w:type="character" w:customStyle="1" w:styleId="14">
    <w:name w:val="fontstyle01"/>
    <w:basedOn w:val="10"/>
    <w:qFormat/>
    <w:uiPriority w:val="0"/>
    <w:rPr>
      <w:rFonts w:hint="eastAsia" w:ascii="仿宋_GB2312" w:hAnsi="Verdana" w:eastAsia="仿宋_GB2312" w:cs="Verdana"/>
      <w:color w:val="000000"/>
      <w:kern w:val="0"/>
      <w:sz w:val="32"/>
      <w:szCs w:val="32"/>
      <w:lang w:eastAsia="en-US"/>
    </w:rPr>
  </w:style>
  <w:style w:type="character" w:customStyle="1" w:styleId="15">
    <w:name w:val="fontstyle21"/>
    <w:basedOn w:val="10"/>
    <w:qFormat/>
    <w:uiPriority w:val="0"/>
    <w:rPr>
      <w:rFonts w:hint="default" w:ascii="Times New Roman" w:hAnsi="Times New Roman" w:eastAsia="仿宋_GB2312" w:cs="Times New Roman"/>
      <w:color w:val="000000"/>
      <w:kern w:val="0"/>
      <w:sz w:val="32"/>
      <w:szCs w:val="32"/>
      <w:lang w:eastAsia="en-US"/>
    </w:rPr>
  </w:style>
  <w:style w:type="character" w:customStyle="1" w:styleId="16">
    <w:name w:val="页脚 Char"/>
    <w:link w:val="7"/>
    <w:locked/>
    <w:uiPriority w:val="99"/>
    <w:rPr>
      <w:rFonts w:eastAsia="宋体"/>
      <w:kern w:val="2"/>
      <w:sz w:val="18"/>
      <w:szCs w:val="18"/>
      <w:lang w:val="en-US" w:eastAsia="zh-CN" w:bidi="ar-SA"/>
    </w:rPr>
  </w:style>
  <w:style w:type="character" w:customStyle="1" w:styleId="17">
    <w:name w:val="正文文本 Char"/>
    <w:basedOn w:val="10"/>
    <w:link w:val="3"/>
    <w:qFormat/>
    <w:uiPriority w:val="99"/>
    <w:rPr>
      <w:rFonts w:ascii="Calibri" w:hAnsi="Calibri"/>
      <w:kern w:val="2"/>
      <w:sz w:val="28"/>
      <w:szCs w:val="24"/>
    </w:rPr>
  </w:style>
  <w:style w:type="character" w:customStyle="1" w:styleId="18">
    <w:name w:val="标题 3 Char"/>
    <w:basedOn w:val="10"/>
    <w:link w:val="2"/>
    <w:qFormat/>
    <w:uiPriority w:val="0"/>
    <w:rPr>
      <w:rFonts w:ascii="宋体" w:hAnsi="Calibri"/>
      <w:b/>
      <w:sz w:val="27"/>
      <w:szCs w:val="27"/>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0F606E-FF55-4F06-8E35-2192D0510A5C}">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41</Pages>
  <Words>17196</Words>
  <Characters>17448</Characters>
  <Lines>143</Lines>
  <Paragraphs>40</Paragraphs>
  <TotalTime>22621</TotalTime>
  <ScaleCrop>false</ScaleCrop>
  <LinksUpToDate>false</LinksUpToDate>
  <CharactersWithSpaces>17657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2023-08-25T01:50:00Z</dcterms:created>
  <dc:creator>liyong</dc:creator>
  <cp:lastModifiedBy>Administrator</cp:lastModifiedBy>
  <cp:lastPrinted>2023-09-06T09:54:00Z</cp:lastPrinted>
  <dcterms:modified xsi:type="dcterms:W3CDTF">2025-11-21T02:40:56Z</dcterms:modified>
  <dc:title>柳河县人民政府</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eyJoZGlkIjoiNWNkZjFiZTlhN2YxOTBhYzdmZGY0OGU3MWI1MzY1OWIifQ==</vt:lpwstr>
  </property>
  <property fmtid="{D5CDD505-2E9C-101B-9397-08002B2CF9AE}" pid="3" name="KSOProductBuildVer">
    <vt:lpwstr>2052-12.1.0.23542</vt:lpwstr>
  </property>
  <property fmtid="{D5CDD505-2E9C-101B-9397-08002B2CF9AE}" pid="4" name="ICV">
    <vt:lpwstr>08FF19BE991341C5BC108F82048E745A_13</vt:lpwstr>
  </property>
</Properties>
</file>