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C0CB5">
      <w:pPr>
        <w:snapToGrid w:val="0"/>
        <w:spacing w:line="579" w:lineRule="exact"/>
        <w:rPr>
          <w:rFonts w:hint="eastAsia" w:ascii="仿宋_GB2312" w:hAnsi="仿宋_GB2312" w:eastAsia="仿宋_GB2312"/>
          <w:color w:val="000000"/>
          <w:spacing w:val="-20"/>
          <w:sz w:val="30"/>
          <w:szCs w:val="24"/>
        </w:rPr>
      </w:pPr>
      <w:r>
        <w:rPr>
          <w:rFonts w:hint="eastAsia" w:ascii="仿宋_GB2312" w:hAnsi="仿宋_GB2312" w:eastAsia="仿宋_GB2312"/>
          <w:color w:val="000000"/>
          <w:spacing w:val="-20"/>
          <w:sz w:val="30"/>
          <w:szCs w:val="24"/>
        </w:rPr>
        <w:t>附件3：</w:t>
      </w:r>
    </w:p>
    <w:p w14:paraId="19EEDCD4">
      <w:pPr>
        <w:spacing w:line="560" w:lineRule="exact"/>
        <w:jc w:val="center"/>
        <w:rPr>
          <w:rFonts w:hint="eastAsia" w:ascii="宋体" w:hAnsi="宋体" w:cs="宋体"/>
          <w:b/>
          <w:sz w:val="44"/>
          <w:szCs w:val="44"/>
        </w:rPr>
      </w:pPr>
      <w:bookmarkStart w:id="0" w:name="_GoBack"/>
      <w:r>
        <w:rPr>
          <w:rFonts w:hint="eastAsia" w:ascii="宋体" w:hAnsi="宋体" w:cs="宋体"/>
          <w:b/>
          <w:sz w:val="44"/>
          <w:szCs w:val="44"/>
        </w:rPr>
        <w:t>吉林省消防安全重点单位界定标准</w:t>
      </w:r>
    </w:p>
    <w:bookmarkEnd w:id="0"/>
    <w:p w14:paraId="2B9396E1">
      <w:pPr>
        <w:spacing w:line="560" w:lineRule="exact"/>
        <w:ind w:firstLine="412" w:firstLineChars="200"/>
        <w:rPr>
          <w:rFonts w:hint="eastAsia"/>
          <w:sz w:val="21"/>
          <w:szCs w:val="24"/>
        </w:rPr>
      </w:pPr>
    </w:p>
    <w:p w14:paraId="1605E80B">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根据《国家消防救援局关于调整消防安全重点单位界定标准的通知》要求，结合我市实际，现对全是消防安全重点单位提出以下界定标准：</w:t>
      </w:r>
    </w:p>
    <w:p w14:paraId="7CA7FE63">
      <w:pPr>
        <w:spacing w:line="560" w:lineRule="exact"/>
        <w:ind w:firstLine="632" w:firstLineChars="200"/>
        <w:rPr>
          <w:rFonts w:hint="eastAsia" w:ascii="黑体" w:hAnsi="黑体" w:eastAsia="黑体" w:cs="黑体"/>
          <w:b/>
          <w:sz w:val="32"/>
          <w:szCs w:val="32"/>
        </w:rPr>
      </w:pPr>
      <w:r>
        <w:rPr>
          <w:rFonts w:hint="eastAsia" w:ascii="黑体" w:hAnsi="黑体" w:eastAsia="黑体" w:cs="黑体"/>
          <w:b/>
          <w:sz w:val="32"/>
          <w:szCs w:val="32"/>
        </w:rPr>
        <w:t>一、商场（市场）、宾馆（饭店）、体育场（馆）、会堂、公共娱乐场所等公众聚集场所</w:t>
      </w:r>
    </w:p>
    <w:p w14:paraId="72DBCC2C">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（一）客房40间以上或床位80个以上的宾馆（旅馆、饭店），建筑面积1000平方米以上的餐饮场所；</w:t>
      </w:r>
    </w:p>
    <w:p w14:paraId="39A4E529">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（二）建筑面积1000平方米以上的商场、商店、室内集贸市场；</w:t>
      </w:r>
    </w:p>
    <w:p w14:paraId="49D5BDB4">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（三）特等和甲等剧场，座位数1500个以上的乙等剧场，座位数2000个以上的会堂或礼堂，座位数3000个以上的体育馆,座位数5000个以上的体育场，建筑面积500平方米以上的电影（电视）摄影棚；</w:t>
      </w:r>
    </w:p>
    <w:p w14:paraId="4DA10D53">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（四）建筑面积1000平方米以上的下列公共娱乐场所：</w:t>
      </w:r>
    </w:p>
    <w:p w14:paraId="5B864C4B">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1、影剧院、录像厅、礼堂等演出、放映场所；</w:t>
      </w:r>
    </w:p>
    <w:p w14:paraId="7027A94E">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2、具有娱乐功能的音乐茶座、茶馆、咖啡厅；</w:t>
      </w:r>
    </w:p>
    <w:p w14:paraId="4481392D">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3、保龄球馆、旱冰场、桑拿浴室（洗浴部分面积不计算）、按摩院、足浴室、美容美体（SPA）、具有休闲娱乐功能的洗浴汗蒸场所等营业性健身、休闲场所；</w:t>
      </w:r>
    </w:p>
    <w:p w14:paraId="75A7B041">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（五）设置在地下或半地下、多层建筑的地上第四层及以上楼层、高层民用建筑内及设置在多层建筑第一层至第三层且建筑面积300平方米以上的下列公共娱乐场所：</w:t>
      </w:r>
    </w:p>
    <w:p w14:paraId="02E1AB11">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1、舞厅、卡拉OK厅、酒吧等歌舞娱乐场所；</w:t>
      </w:r>
    </w:p>
    <w:p w14:paraId="08298ABB">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2、游艺、网吧、游乐场所；</w:t>
      </w:r>
    </w:p>
    <w:p w14:paraId="4FB75BFF">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3、具有娱乐功能的夜总会。</w:t>
      </w:r>
    </w:p>
    <w:p w14:paraId="195C6FFB">
      <w:pPr>
        <w:spacing w:line="560" w:lineRule="exact"/>
        <w:ind w:firstLine="632" w:firstLineChars="200"/>
        <w:rPr>
          <w:rFonts w:hint="eastAsia" w:ascii="黑体" w:hAnsi="黑体" w:eastAsia="黑体" w:cs="黑体"/>
          <w:sz w:val="32"/>
          <w:szCs w:val="32"/>
        </w:rPr>
      </w:pPr>
      <w:r>
        <w:rPr>
          <w:rFonts w:hint="eastAsia" w:ascii="黑体" w:hAnsi="黑体" w:eastAsia="黑体" w:cs="黑体"/>
          <w:sz w:val="32"/>
          <w:szCs w:val="32"/>
        </w:rPr>
        <w:t>二、医院、养老院和寄宿制的学校、托儿所、幼儿园</w:t>
      </w:r>
    </w:p>
    <w:p w14:paraId="1F394223">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（一）住院床位50张以上的医院、医疗保健机构；</w:t>
      </w:r>
    </w:p>
    <w:p w14:paraId="2E493071">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（二）在校师生总人数2000人以上或学生住宿床位100张以上的学校；</w:t>
      </w:r>
    </w:p>
    <w:p w14:paraId="208FBF36">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（三）老人住宿床位在50张以上的养老院（敬老院）、福利院；</w:t>
      </w:r>
    </w:p>
    <w:p w14:paraId="497BFB23">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（四）人数100人以上或住宿床位在40张以上的托儿所、幼儿园；</w:t>
      </w:r>
    </w:p>
    <w:p w14:paraId="0D988896">
      <w:pPr>
        <w:snapToGrid w:val="0"/>
        <w:spacing w:line="579" w:lineRule="exact"/>
        <w:ind w:firstLine="648"/>
        <w:rPr>
          <w:rFonts w:hint="eastAsia" w:ascii="仿宋" w:hAnsi="仿宋" w:eastAsia="仿宋" w:cs="仿宋"/>
          <w:sz w:val="32"/>
          <w:szCs w:val="32"/>
        </w:rPr>
      </w:pPr>
      <w:r>
        <w:rPr>
          <w:rFonts w:hint="eastAsia" w:ascii="Times New Roman" w:hAnsi="Times New Roman" w:eastAsia="仿宋_GB2312" w:cs="Times New Roman"/>
          <w:color w:val="000000"/>
          <w:sz w:val="32"/>
          <w:szCs w:val="24"/>
        </w:rPr>
        <w:t>（五）床位数在20张以上的产后母婴照顾服务机构。</w:t>
      </w:r>
    </w:p>
    <w:p w14:paraId="1A528A29">
      <w:pPr>
        <w:spacing w:line="560" w:lineRule="exact"/>
        <w:ind w:firstLine="632" w:firstLineChars="200"/>
        <w:rPr>
          <w:rFonts w:hint="eastAsia" w:ascii="仿宋" w:hAnsi="仿宋" w:eastAsia="仿宋" w:cs="仿宋"/>
          <w:sz w:val="32"/>
          <w:szCs w:val="32"/>
        </w:rPr>
      </w:pPr>
      <w:r>
        <w:rPr>
          <w:rFonts w:hint="eastAsia" w:ascii="黑体" w:hAnsi="黑体" w:eastAsia="黑体" w:cs="黑体"/>
          <w:sz w:val="32"/>
          <w:szCs w:val="32"/>
        </w:rPr>
        <w:t>三、国家机关</w:t>
      </w:r>
    </w:p>
    <w:p w14:paraId="60B36439">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（一）县级以上的党委、人大、政府、政协；</w:t>
      </w:r>
    </w:p>
    <w:p w14:paraId="0C87B058">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（二）市级以上的人民检察院、人民法院、纪委、监委；</w:t>
      </w:r>
    </w:p>
    <w:p w14:paraId="7B9CB482">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（三）在党委、政府办公楼（院）外独立设置的市级以上党政机关工作部门及共青团、妇联等人民团体。</w:t>
      </w:r>
    </w:p>
    <w:p w14:paraId="15618E22">
      <w:pPr>
        <w:spacing w:line="560" w:lineRule="exact"/>
        <w:ind w:firstLine="632" w:firstLineChars="200"/>
        <w:rPr>
          <w:rFonts w:hint="eastAsia" w:ascii="黑体" w:hAnsi="黑体" w:eastAsia="黑体" w:cs="黑体"/>
          <w:sz w:val="32"/>
          <w:szCs w:val="32"/>
        </w:rPr>
      </w:pPr>
      <w:r>
        <w:rPr>
          <w:rFonts w:hint="eastAsia" w:ascii="黑体" w:hAnsi="黑体" w:eastAsia="黑体" w:cs="黑体"/>
          <w:sz w:val="32"/>
          <w:szCs w:val="32"/>
        </w:rPr>
        <w:t>四、广播、电视和邮政、通信枢纽</w:t>
      </w:r>
    </w:p>
    <w:p w14:paraId="0CD084B0">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（一）县级以上的广播电台、电视台、报社；</w:t>
      </w:r>
    </w:p>
    <w:p w14:paraId="57FA57AD">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（二）县级以上的邮政和通信枢纽单位；</w:t>
      </w:r>
    </w:p>
    <w:p w14:paraId="4DDB3EEB">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（三）设置B级以上数据中心的单位。</w:t>
      </w:r>
    </w:p>
    <w:p w14:paraId="72B0D76A">
      <w:pPr>
        <w:spacing w:line="560" w:lineRule="exact"/>
        <w:ind w:firstLine="632" w:firstLineChars="200"/>
        <w:rPr>
          <w:rFonts w:hint="eastAsia" w:ascii="仿宋" w:hAnsi="仿宋" w:eastAsia="仿宋" w:cs="仿宋"/>
          <w:sz w:val="32"/>
          <w:szCs w:val="32"/>
        </w:rPr>
      </w:pPr>
      <w:r>
        <w:rPr>
          <w:rFonts w:hint="eastAsia" w:ascii="黑体" w:hAnsi="黑体" w:eastAsia="黑体" w:cs="黑体"/>
          <w:sz w:val="32"/>
          <w:szCs w:val="32"/>
        </w:rPr>
        <w:t>五、客运车站、码头、民用机场</w:t>
      </w:r>
    </w:p>
    <w:p w14:paraId="6D36A572">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民用机场，建筑面积1000平方米以上的客运车站候车室、客运码头侯船厅。</w:t>
      </w:r>
    </w:p>
    <w:p w14:paraId="496B330D">
      <w:pPr>
        <w:spacing w:line="560" w:lineRule="exact"/>
        <w:ind w:firstLine="632" w:firstLineChars="200"/>
        <w:rPr>
          <w:rFonts w:hint="eastAsia" w:ascii="黑体" w:hAnsi="黑体" w:eastAsia="黑体" w:cs="黑体"/>
          <w:sz w:val="32"/>
          <w:szCs w:val="32"/>
        </w:rPr>
      </w:pPr>
      <w:r>
        <w:rPr>
          <w:rFonts w:hint="eastAsia" w:ascii="黑体" w:hAnsi="黑体" w:eastAsia="黑体" w:cs="黑体"/>
          <w:sz w:val="32"/>
          <w:szCs w:val="32"/>
        </w:rPr>
        <w:t>六、公共图书馆、展览馆、博物馆、档案馆以及具有火灾危险性的文物保护单位</w:t>
      </w:r>
    </w:p>
    <w:p w14:paraId="57D39468">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（一）任一层建筑面积1500平方米以上或者总建筑面积3000平方米以上的公共图书馆、展览馆、会展中心等；</w:t>
      </w:r>
    </w:p>
    <w:p w14:paraId="5D560CB0">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（二）博物馆、档案馆；</w:t>
      </w:r>
    </w:p>
    <w:p w14:paraId="3A259C71">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（三）市级以上文物保护单位。</w:t>
      </w:r>
    </w:p>
    <w:p w14:paraId="5D2FED6E">
      <w:pPr>
        <w:spacing w:line="560" w:lineRule="exact"/>
        <w:ind w:firstLine="632" w:firstLineChars="200"/>
        <w:rPr>
          <w:rFonts w:hint="eastAsia" w:ascii="黑体" w:hAnsi="黑体" w:eastAsia="黑体" w:cs="黑体"/>
          <w:sz w:val="32"/>
          <w:szCs w:val="32"/>
        </w:rPr>
      </w:pPr>
      <w:r>
        <w:rPr>
          <w:rFonts w:hint="eastAsia" w:ascii="黑体" w:hAnsi="黑体" w:eastAsia="黑体" w:cs="黑体"/>
          <w:sz w:val="32"/>
          <w:szCs w:val="32"/>
        </w:rPr>
        <w:t>七、发电厂（站）和电网经营企业</w:t>
      </w:r>
    </w:p>
    <w:p w14:paraId="656D6224">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（一）单机容量300MW以上或者总装机容量600MW以上的大型火力发电厂；</w:t>
      </w:r>
    </w:p>
    <w:p w14:paraId="7650FC0B">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（二）容量为30MW且功率为30MW·h以上大型电化学储能电站。</w:t>
      </w:r>
    </w:p>
    <w:p w14:paraId="7D1863AD">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（三）装机容量300MW以上的大型水电站；</w:t>
      </w:r>
    </w:p>
    <w:p w14:paraId="6C83A929">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（四）国、网、省、地、配五级电力指挥调度中心。</w:t>
      </w:r>
    </w:p>
    <w:p w14:paraId="2028E860">
      <w:pPr>
        <w:spacing w:line="560" w:lineRule="exact"/>
        <w:ind w:firstLine="632" w:firstLineChars="200"/>
        <w:rPr>
          <w:rFonts w:hint="eastAsia" w:ascii="仿宋" w:hAnsi="仿宋" w:eastAsia="仿宋" w:cs="仿宋"/>
          <w:sz w:val="32"/>
          <w:szCs w:val="32"/>
        </w:rPr>
      </w:pPr>
      <w:r>
        <w:rPr>
          <w:rFonts w:hint="eastAsia" w:ascii="黑体" w:hAnsi="黑体" w:eastAsia="黑体" w:cs="黑体"/>
          <w:sz w:val="32"/>
          <w:szCs w:val="32"/>
        </w:rPr>
        <w:t>八、易燃易爆化学物品的生产、充装、储存、供应、销售单位</w:t>
      </w:r>
    </w:p>
    <w:p w14:paraId="27AF7D54">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（一）生产易燃易爆化学物品的工厂；</w:t>
      </w:r>
    </w:p>
    <w:p w14:paraId="5C0C130B">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（二）易燃易爆化学物品的专业储存单位（仓库、堆场、储罐场所）；</w:t>
      </w:r>
    </w:p>
    <w:p w14:paraId="5D3A16C6">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（三）国家石油天然气管网集团省级以上输油、输气单位；</w:t>
      </w:r>
    </w:p>
    <w:p w14:paraId="7091A9A9">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（四）储罐总容积100立方米以上的液化石油气供应站（储存站、储配站、灌装站）、气化站、混气站；</w:t>
      </w:r>
    </w:p>
    <w:p w14:paraId="39F5DF2D">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（五）二级以上压缩天然气供应站，储罐总容积100立方米以上的液化天然气储配站、气化站；</w:t>
      </w:r>
    </w:p>
    <w:p w14:paraId="0ADE134A">
      <w:pPr>
        <w:snapToGrid w:val="0"/>
        <w:spacing w:line="579" w:lineRule="exact"/>
        <w:ind w:firstLine="648"/>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（六）汽车加油站、加气站，液化石油气供应站。</w:t>
      </w:r>
    </w:p>
    <w:p w14:paraId="075A0B42">
      <w:pPr>
        <w:spacing w:line="560" w:lineRule="exact"/>
        <w:ind w:firstLine="632" w:firstLineChars="200"/>
        <w:rPr>
          <w:rFonts w:hint="eastAsia" w:ascii="黑体" w:hAnsi="黑体" w:eastAsia="黑体" w:cs="黑体"/>
          <w:sz w:val="32"/>
          <w:szCs w:val="32"/>
        </w:rPr>
      </w:pPr>
      <w:r>
        <w:rPr>
          <w:rFonts w:hint="eastAsia" w:ascii="黑体" w:hAnsi="黑体" w:eastAsia="黑体" w:cs="黑体"/>
          <w:sz w:val="32"/>
          <w:szCs w:val="32"/>
        </w:rPr>
        <w:t>九、劳动密集型生产、加工企业</w:t>
      </w:r>
    </w:p>
    <w:p w14:paraId="5C35672D">
      <w:pPr>
        <w:spacing w:line="560" w:lineRule="exact"/>
        <w:ind w:firstLine="632" w:firstLineChars="200"/>
        <w:rPr>
          <w:rFonts w:hint="eastAsia" w:ascii="仿宋" w:hAnsi="仿宋" w:eastAsia="仿宋" w:cs="仿宋"/>
          <w:sz w:val="32"/>
          <w:szCs w:val="32"/>
        </w:rPr>
      </w:pPr>
      <w:r>
        <w:rPr>
          <w:rFonts w:hint="eastAsia" w:ascii="Times New Roman" w:hAnsi="Times New Roman" w:eastAsia="仿宋_GB2312" w:cs="Times New Roman"/>
          <w:color w:val="000000"/>
          <w:sz w:val="32"/>
          <w:szCs w:val="24"/>
        </w:rPr>
        <w:t>同一时间、同一厂房职工人数30人以上或员工宿舍居住人数30人以上的服装、皮革、家具、玩具、塑料、纺织、印染、印刷、绒绣、刺绣、食品加工和日用百货及工艺品生产等劳动密集型企业。</w:t>
      </w:r>
    </w:p>
    <w:p w14:paraId="44853053">
      <w:pPr>
        <w:spacing w:line="560" w:lineRule="exact"/>
        <w:ind w:firstLine="632" w:firstLineChars="200"/>
        <w:rPr>
          <w:rFonts w:hint="eastAsia" w:ascii="黑体" w:hAnsi="黑体" w:eastAsia="黑体" w:cs="黑体"/>
          <w:sz w:val="32"/>
          <w:szCs w:val="32"/>
        </w:rPr>
      </w:pPr>
      <w:r>
        <w:rPr>
          <w:rFonts w:hint="eastAsia" w:ascii="黑体" w:hAnsi="黑体" w:eastAsia="黑体" w:cs="黑体"/>
          <w:sz w:val="32"/>
          <w:szCs w:val="32"/>
        </w:rPr>
        <w:t>十、重要科研单位</w:t>
      </w:r>
    </w:p>
    <w:p w14:paraId="77BF054F">
      <w:pPr>
        <w:spacing w:line="560" w:lineRule="exact"/>
        <w:ind w:firstLine="632" w:firstLineChars="200"/>
        <w:rPr>
          <w:rFonts w:hint="eastAsia" w:ascii="Times New Roman" w:hAnsi="Times New Roman" w:eastAsia="仿宋_GB2312" w:cs="Times New Roman"/>
          <w:color w:val="000000"/>
          <w:sz w:val="32"/>
          <w:szCs w:val="24"/>
        </w:rPr>
      </w:pPr>
      <w:r>
        <w:rPr>
          <w:rFonts w:hint="eastAsia" w:ascii="仿宋" w:hAnsi="仿宋" w:eastAsia="仿宋" w:cs="仿宋"/>
          <w:sz w:val="32"/>
          <w:szCs w:val="32"/>
        </w:rPr>
        <w:t>（</w:t>
      </w:r>
      <w:r>
        <w:rPr>
          <w:rFonts w:hint="eastAsia" w:ascii="Times New Roman" w:hAnsi="Times New Roman" w:eastAsia="仿宋_GB2312" w:cs="Times New Roman"/>
          <w:color w:val="000000"/>
          <w:sz w:val="32"/>
          <w:szCs w:val="24"/>
        </w:rPr>
        <w:t>一）省级以上科研单位；</w:t>
      </w:r>
    </w:p>
    <w:p w14:paraId="7287CA8D">
      <w:pPr>
        <w:spacing w:line="560" w:lineRule="exact"/>
        <w:ind w:firstLine="632" w:firstLineChars="200"/>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（二）科研试验中具有火灾爆炸危险性的科研单位。</w:t>
      </w:r>
    </w:p>
    <w:p w14:paraId="5EAE06AF">
      <w:pPr>
        <w:spacing w:line="560" w:lineRule="exact"/>
        <w:ind w:firstLine="632" w:firstLineChars="200"/>
        <w:rPr>
          <w:rFonts w:hint="eastAsia" w:ascii="黑体" w:hAnsi="黑体" w:eastAsia="黑体" w:cs="黑体"/>
          <w:sz w:val="32"/>
          <w:szCs w:val="32"/>
        </w:rPr>
      </w:pPr>
      <w:r>
        <w:rPr>
          <w:rFonts w:hint="eastAsia" w:ascii="黑体" w:hAnsi="黑体" w:eastAsia="黑体" w:cs="黑体"/>
          <w:sz w:val="32"/>
          <w:szCs w:val="32"/>
        </w:rPr>
        <w:t>十一、高层公共建筑、地下铁道、地下观光隧道、粮、棉、木材、百货等物资仓库和堆场，重点工程的施工现场</w:t>
      </w:r>
    </w:p>
    <w:p w14:paraId="6D2FAD00">
      <w:pPr>
        <w:spacing w:line="560" w:lineRule="exact"/>
        <w:ind w:firstLine="632" w:firstLineChars="200"/>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（一）高层公共建筑的办公楼（写字楼）、公寓楼、综合楼（不含商住楼的住宅部分）；</w:t>
      </w:r>
    </w:p>
    <w:p w14:paraId="2636DC6B">
      <w:pPr>
        <w:spacing w:line="560" w:lineRule="exact"/>
        <w:ind w:firstLine="632" w:firstLineChars="200"/>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（二）平战结合地下人防工程（住宅小区内不对外开放的地下汽车库除外）；</w:t>
      </w:r>
    </w:p>
    <w:p w14:paraId="690CCFC9">
      <w:pPr>
        <w:spacing w:line="560" w:lineRule="exact"/>
        <w:ind w:firstLine="632" w:firstLineChars="200"/>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（三）城市地下铁道、地下观光隧道、轻型快速轨道等地下公共建筑和城市重要的交通隧道；</w:t>
      </w:r>
    </w:p>
    <w:p w14:paraId="6DA79A5A">
      <w:pPr>
        <w:spacing w:line="560" w:lineRule="exact"/>
        <w:ind w:firstLine="632" w:firstLineChars="200"/>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（四）国家储备粮库、总储量1万吨以上的其他粮库；</w:t>
      </w:r>
    </w:p>
    <w:p w14:paraId="43DE54E7">
      <w:pPr>
        <w:spacing w:line="560" w:lineRule="exact"/>
        <w:ind w:firstLine="632" w:firstLineChars="200"/>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（五）总储量500吨以上或占地面积1000平方米以上的棉、毛、丝、麻、化纤、毛皮及其制品的仓库；</w:t>
      </w:r>
    </w:p>
    <w:p w14:paraId="23737875">
      <w:pPr>
        <w:spacing w:line="560" w:lineRule="exact"/>
        <w:ind w:firstLine="632" w:firstLineChars="200"/>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（六）总储量10000立方米以上的木材堆场；</w:t>
      </w:r>
    </w:p>
    <w:p w14:paraId="2E9A4F5B">
      <w:pPr>
        <w:spacing w:line="560" w:lineRule="exact"/>
        <w:ind w:firstLine="632" w:firstLineChars="200"/>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（七）从业人员100人以上且营业收入1000万元以上的可燃物品仓储物流企业；</w:t>
      </w:r>
    </w:p>
    <w:p w14:paraId="7D570A92">
      <w:pPr>
        <w:spacing w:line="560" w:lineRule="exact"/>
        <w:ind w:firstLine="632" w:firstLineChars="200"/>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（八）国家和省级重点工程的施工工地。</w:t>
      </w:r>
    </w:p>
    <w:p w14:paraId="3EA7DFA2">
      <w:pPr>
        <w:spacing w:line="560" w:lineRule="exact"/>
        <w:ind w:firstLine="632" w:firstLineChars="200"/>
        <w:rPr>
          <w:rFonts w:hint="eastAsia" w:ascii="黑体" w:hAnsi="黑体" w:eastAsia="黑体" w:cs="黑体"/>
          <w:sz w:val="32"/>
          <w:szCs w:val="32"/>
        </w:rPr>
      </w:pPr>
      <w:r>
        <w:rPr>
          <w:rFonts w:hint="eastAsia" w:ascii="黑体" w:hAnsi="黑体" w:eastAsia="黑体" w:cs="黑体"/>
          <w:sz w:val="32"/>
          <w:szCs w:val="32"/>
        </w:rPr>
        <w:t>十二、其他发生火灾可能性较大以及一旦发生火灾可能造成人身重大伤亡或者财产重大损失的单位</w:t>
      </w:r>
    </w:p>
    <w:p w14:paraId="53B777A4">
      <w:pPr>
        <w:spacing w:line="560" w:lineRule="exact"/>
        <w:ind w:firstLine="632" w:firstLineChars="200"/>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（一）AAAA级以上的旅游景区及总建筑面积2500平方米以上的宗教活动场所；</w:t>
      </w:r>
    </w:p>
    <w:p w14:paraId="3606E19A">
      <w:pPr>
        <w:spacing w:line="560" w:lineRule="exact"/>
        <w:ind w:firstLine="632" w:firstLineChars="200"/>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（二）固定资产（建筑、设备、原材料等）价值5000万元以上的电子、机械、汽车、客车、机车、钢铁、造船、烟草、航空、航天、民航、医药、造纸、纺织、木器、建筑、粮食加工等企业；</w:t>
      </w:r>
    </w:p>
    <w:p w14:paraId="30683AF0">
      <w:pPr>
        <w:spacing w:line="560" w:lineRule="exact"/>
        <w:ind w:firstLine="632" w:firstLineChars="200"/>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（三）分行、一级支行以上或者办公场所、营业场所建筑面积1000平方米以上的银行；</w:t>
      </w:r>
    </w:p>
    <w:p w14:paraId="140955C0">
      <w:pPr>
        <w:spacing w:line="560" w:lineRule="exact"/>
        <w:ind w:firstLine="632" w:firstLineChars="200"/>
        <w:rPr>
          <w:rFonts w:hint="eastAsia" w:ascii="Times New Roman" w:hAnsi="Times New Roman" w:eastAsia="仿宋_GB2312" w:cs="Times New Roman"/>
          <w:color w:val="000000"/>
          <w:sz w:val="32"/>
          <w:szCs w:val="24"/>
        </w:rPr>
      </w:pPr>
      <w:r>
        <w:rPr>
          <w:rFonts w:hint="eastAsia" w:ascii="Times New Roman" w:hAnsi="Times New Roman" w:eastAsia="仿宋_GB2312" w:cs="Times New Roman"/>
          <w:color w:val="000000"/>
          <w:sz w:val="32"/>
          <w:szCs w:val="24"/>
        </w:rPr>
        <w:t>（四）营业总面积1000平方米以上的证券、保险、信托、资产管理、期货交易场所；</w:t>
      </w:r>
    </w:p>
    <w:p w14:paraId="49286336">
      <w:pPr>
        <w:spacing w:line="560" w:lineRule="exact"/>
        <w:ind w:firstLine="632" w:firstLineChars="200"/>
        <w:rPr>
          <w:rFonts w:hint="eastAsia" w:ascii="Times New Roman" w:hAnsi="Times New Roman" w:eastAsia="仿宋_GB2312" w:cs="Times New Roman"/>
          <w:color w:val="000000"/>
          <w:sz w:val="32"/>
          <w:szCs w:val="24"/>
          <w:lang w:val="en-US" w:eastAsia="zh-CN"/>
        </w:rPr>
        <w:sectPr>
          <w:headerReference r:id="rId3" w:type="default"/>
          <w:footerReference r:id="rId4" w:type="default"/>
          <w:pgSz w:w="11906" w:h="16838"/>
          <w:pgMar w:top="2041" w:right="1247" w:bottom="1984" w:left="1247" w:header="851" w:footer="1134" w:gutter="0"/>
          <w:lnNumType w:countBy="0" w:distance="360"/>
          <w:cols w:space="720" w:num="1"/>
          <w:docGrid w:type="linesAndChars" w:linePitch="560" w:charSpace="-849"/>
        </w:sectPr>
      </w:pPr>
      <w:r>
        <w:rPr>
          <w:rFonts w:hint="eastAsia" w:ascii="Times New Roman" w:hAnsi="Times New Roman" w:eastAsia="仿宋_GB2312" w:cs="Times New Roman"/>
          <w:color w:val="000000"/>
          <w:sz w:val="32"/>
          <w:szCs w:val="24"/>
        </w:rPr>
        <w:t>（五）独立经营的一类汽车库、修车</w:t>
      </w:r>
    </w:p>
    <w:p w14:paraId="4966C4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FD930">
    <w:pPr>
      <w:pStyle w:val="2"/>
      <w:ind w:right="270"/>
      <w:jc w:val="right"/>
      <w:rPr>
        <w:rFonts w:hint="eastAsia" w:ascii="宋体" w:hAnsi="宋体"/>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64A81A9">
                          <w:pPr>
                            <w:pStyle w:val="2"/>
                            <w:rPr>
                              <w:rFonts w:hint="default"/>
                              <w:sz w:val="18"/>
                              <w:szCs w:val="24"/>
                            </w:rPr>
                          </w:pPr>
                          <w:r>
                            <w:rPr>
                              <w:rFonts w:hint="default"/>
                              <w:sz w:val="18"/>
                              <w:szCs w:val="24"/>
                            </w:rPr>
                            <w:t xml:space="preserve">— </w:t>
                          </w: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r>
                            <w:rPr>
                              <w:rFonts w:hint="default"/>
                              <w:sz w:val="18"/>
                              <w:szCs w:val="24"/>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14:paraId="364A81A9">
                    <w:pPr>
                      <w:pStyle w:val="2"/>
                      <w:rPr>
                        <w:rFonts w:hint="default"/>
                        <w:sz w:val="18"/>
                        <w:szCs w:val="24"/>
                      </w:rPr>
                    </w:pPr>
                    <w:r>
                      <w:rPr>
                        <w:rFonts w:hint="default"/>
                        <w:sz w:val="18"/>
                        <w:szCs w:val="24"/>
                      </w:rPr>
                      <w:t xml:space="preserve">— </w:t>
                    </w: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r>
                      <w:rPr>
                        <w:rFonts w:hint="default"/>
                        <w:sz w:val="18"/>
                        <w:szCs w:val="24"/>
                      </w:rPr>
                      <w:t xml:space="preserve"> —</w:t>
                    </w:r>
                  </w:p>
                </w:txbxContent>
              </v:textbox>
            </v:shape>
          </w:pict>
        </mc:Fallback>
      </mc:AlternateContent>
    </w:r>
  </w:p>
  <w:p w14:paraId="43494D49">
    <w:pPr>
      <w:pStyle w:val="2"/>
      <w:rPr>
        <w:rFonts w:hint="default"/>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CAA4C">
    <w:pPr>
      <w:pStyle w:val="3"/>
      <w:pBdr>
        <w:bottom w:val="none" w:color="auto" w:sz="0" w:space="0"/>
      </w:pBdr>
      <w:rPr>
        <w:rFonts w:hint="default"/>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1141E"/>
    <w:rsid w:val="23E11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default" w:ascii="Calibri" w:hAnsi="Calibri" w:eastAsia="宋体" w:cs="Times New Roman"/>
      <w:kern w:val="2"/>
      <w:sz w:val="21"/>
      <w:szCs w:val="24"/>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hint="default"/>
      <w:sz w:val="18"/>
      <w:szCs w:val="24"/>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rFonts w:hint="default"/>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2026-02-26T00:58:00Z</dcterms:created>
  <dc:creator>。</dc:creator>
  <cp:lastModifiedBy>。</cp:lastModifiedBy>
  <dcterms:modified xsi:type="dcterms:W3CDTF">2026-02-26T00:59:00Z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277FE60C365146F9BC3DD208ED1D3326_11</vt:lpwstr>
  </property>
  <property fmtid="{D5CDD505-2E9C-101B-9397-08002B2CF9AE}" pid="4" name="KSOTemplateDocerSaveRecord">
    <vt:lpwstr>eyJoZGlkIjoiMDU1NGFhMDI5NzVmM2YyYTgzMWQ4MDNjZjNmNTczOWMiLCJ1c2VySWQiOiIyNDkxMzE1MTEifQ==</vt:lpwstr>
  </property>
</Properties>
</file>