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60" w:lineRule="exact"/>
        <w:ind w:left="0" w:leftChars="0" w:right="0"/>
        <w:jc w:val="center"/>
        <w:textAlignment w:val="auto"/>
        <w:outlineLvl w:val="9"/>
        <w:rPr>
          <w:rFonts w:hint="eastAsia"/>
          <w:b/>
          <w:bCs/>
          <w:sz w:val="44"/>
          <w:szCs w:val="44"/>
        </w:rPr>
      </w:pPr>
      <w:bookmarkStart w:id="0" w:name="_GoBack"/>
      <w:bookmarkEnd w:id="0"/>
    </w:p>
    <w:p>
      <w:pPr>
        <w:widowControl w:val="0"/>
        <w:wordWrap/>
        <w:adjustRightInd/>
        <w:snapToGrid/>
        <w:spacing w:before="0" w:after="0" w:line="560" w:lineRule="exact"/>
        <w:ind w:left="0" w:leftChars="0" w:right="0"/>
        <w:jc w:val="center"/>
        <w:textAlignment w:val="auto"/>
        <w:outlineLvl w:val="9"/>
        <w:rPr>
          <w:b/>
          <w:bCs/>
          <w:sz w:val="44"/>
          <w:szCs w:val="44"/>
        </w:rPr>
      </w:pPr>
      <w:r>
        <w:rPr>
          <w:rFonts w:hint="eastAsia"/>
          <w:b/>
          <w:bCs/>
          <w:sz w:val="44"/>
          <w:szCs w:val="44"/>
        </w:rPr>
        <w:t>《洮南市财政扶贫资金管理办法》</w:t>
      </w:r>
    </w:p>
    <w:p>
      <w:pPr>
        <w:widowControl w:val="0"/>
        <w:wordWrap/>
        <w:adjustRightInd/>
        <w:snapToGrid/>
        <w:spacing w:before="0" w:after="0" w:line="560" w:lineRule="exact"/>
        <w:ind w:left="0" w:leftChars="0" w:right="0"/>
        <w:jc w:val="center"/>
        <w:textAlignment w:val="auto"/>
        <w:outlineLvl w:val="9"/>
        <w:rPr>
          <w:rFonts w:hint="eastAsia" w:eastAsia="宋体"/>
          <w:b/>
          <w:bCs/>
          <w:lang w:eastAsia="zh-CN"/>
        </w:rPr>
      </w:pPr>
      <w:r>
        <w:rPr>
          <w:rFonts w:hint="eastAsia"/>
          <w:b/>
          <w:bCs/>
          <w:sz w:val="44"/>
          <w:szCs w:val="44"/>
        </w:rPr>
        <w:t>的</w:t>
      </w:r>
      <w:r>
        <w:rPr>
          <w:rFonts w:hint="eastAsia"/>
          <w:b/>
          <w:bCs/>
          <w:sz w:val="44"/>
          <w:szCs w:val="44"/>
          <w:lang w:eastAsia="zh-CN"/>
        </w:rPr>
        <w:t>政策解读</w:t>
      </w:r>
    </w:p>
    <w:p>
      <w:pPr>
        <w:widowControl w:val="0"/>
        <w:wordWrap/>
        <w:adjustRightInd/>
        <w:snapToGrid/>
        <w:spacing w:before="0" w:after="0" w:line="560" w:lineRule="exact"/>
        <w:ind w:left="0" w:leftChars="0" w:right="0"/>
        <w:textAlignment w:val="auto"/>
        <w:outlineLvl w:val="9"/>
        <w:rPr>
          <w:rFonts w:ascii="仿宋" w:hAnsi="仿宋" w:eastAsia="仿宋" w:cs="仿宋"/>
          <w:sz w:val="32"/>
          <w:szCs w:val="32"/>
        </w:rPr>
      </w:pPr>
    </w:p>
    <w:p>
      <w:pPr>
        <w:widowControl w:val="0"/>
        <w:wordWrap/>
        <w:adjustRightInd/>
        <w:snapToGrid/>
        <w:spacing w:before="0" w:after="0" w:line="560" w:lineRule="exact"/>
        <w:ind w:left="0" w:leftChars="0" w:right="0" w:firstLine="640"/>
        <w:textAlignment w:val="auto"/>
        <w:outlineLvl w:val="9"/>
        <w:rPr>
          <w:rFonts w:ascii="仿宋" w:hAnsi="仿宋" w:eastAsia="仿宋" w:cs="仿宋"/>
          <w:sz w:val="32"/>
          <w:szCs w:val="32"/>
        </w:rPr>
      </w:pPr>
      <w:r>
        <w:rPr>
          <w:rFonts w:hint="eastAsia" w:ascii="仿宋" w:hAnsi="仿宋" w:eastAsia="仿宋" w:cs="仿宋"/>
          <w:sz w:val="32"/>
          <w:szCs w:val="32"/>
        </w:rPr>
        <w:t>为了进一步贯彻落实国家和省里关于全面推进脱贫攻坚工作有关文件精神，进步强化财政扶贫资金管理，提高使用效益，深入推进精准扶贫、精准脱贫，省财政厅、扶贫开发领导小组、发改委、民委、农委、林业厅六部门联合下发《吉林省财政专项扶贫资金管理实施办法》，要求各地结合地方实际制定具体办法。为此，我们组织人员根据省里的《实施办法》制定了《洮南市财政扶贫资金管理办法》（以下简称管理办法）。</w:t>
      </w:r>
    </w:p>
    <w:p>
      <w:pPr>
        <w:widowControl w:val="0"/>
        <w:wordWrap/>
        <w:adjustRightInd/>
        <w:snapToGrid/>
        <w:spacing w:before="0" w:after="0" w:line="560" w:lineRule="exact"/>
        <w:ind w:left="0" w:leftChars="0" w:right="0" w:firstLine="640" w:firstLineChars="200"/>
        <w:textAlignment w:val="auto"/>
        <w:outlineLvl w:val="9"/>
        <w:rPr>
          <w:rFonts w:ascii="仿宋" w:hAnsi="仿宋" w:eastAsia="仿宋"/>
          <w:b/>
          <w:bCs/>
          <w:sz w:val="32"/>
          <w:szCs w:val="32"/>
        </w:rPr>
      </w:pPr>
      <w:r>
        <w:rPr>
          <w:rFonts w:hint="eastAsia" w:ascii="仿宋" w:hAnsi="仿宋" w:eastAsia="仿宋" w:cs="仿宋"/>
          <w:sz w:val="32"/>
          <w:szCs w:val="32"/>
        </w:rPr>
        <w:t>这个管理办法有8章，共3</w:t>
      </w:r>
      <w:r>
        <w:rPr>
          <w:rFonts w:hint="eastAsia" w:ascii="仿宋" w:hAnsi="仿宋" w:eastAsia="仿宋" w:cs="仿宋"/>
          <w:sz w:val="32"/>
          <w:szCs w:val="32"/>
          <w:lang w:val="en-US" w:eastAsia="zh-CN"/>
        </w:rPr>
        <w:t>0</w:t>
      </w:r>
      <w:r>
        <w:rPr>
          <w:rFonts w:hint="eastAsia" w:ascii="仿宋" w:hAnsi="仿宋" w:eastAsia="仿宋" w:cs="仿宋"/>
          <w:sz w:val="32"/>
          <w:szCs w:val="32"/>
        </w:rPr>
        <w:t>条。</w:t>
      </w:r>
      <w:r>
        <w:rPr>
          <w:rFonts w:hint="eastAsia" w:ascii="仿宋" w:hAnsi="仿宋" w:eastAsia="仿宋" w:cs="仿宋"/>
          <w:b/>
          <w:bCs/>
          <w:sz w:val="32"/>
          <w:szCs w:val="32"/>
        </w:rPr>
        <w:t>第一章总则，共3条。</w:t>
      </w:r>
      <w:r>
        <w:rPr>
          <w:rFonts w:hint="eastAsia" w:ascii="仿宋" w:hAnsi="仿宋" w:eastAsia="仿宋" w:cs="仿宋"/>
          <w:sz w:val="32"/>
          <w:szCs w:val="32"/>
        </w:rPr>
        <w:t>主要明确扶贫资金投资项目有关部门责任。</w:t>
      </w:r>
      <w:r>
        <w:rPr>
          <w:rFonts w:ascii="仿宋" w:hAnsi="仿宋" w:eastAsia="仿宋"/>
          <w:kern w:val="0"/>
          <w:sz w:val="32"/>
          <w:szCs w:val="32"/>
        </w:rPr>
        <w:t>扶贫</w:t>
      </w:r>
      <w:r>
        <w:rPr>
          <w:rFonts w:hint="eastAsia" w:ascii="仿宋" w:hAnsi="仿宋" w:eastAsia="仿宋"/>
          <w:kern w:val="0"/>
          <w:sz w:val="32"/>
          <w:szCs w:val="32"/>
        </w:rPr>
        <w:t>办</w:t>
      </w:r>
      <w:r>
        <w:rPr>
          <w:rFonts w:ascii="仿宋" w:hAnsi="仿宋" w:eastAsia="仿宋"/>
          <w:kern w:val="0"/>
          <w:sz w:val="32"/>
          <w:szCs w:val="32"/>
        </w:rPr>
        <w:t>负责</w:t>
      </w:r>
      <w:r>
        <w:rPr>
          <w:rFonts w:hint="eastAsia" w:ascii="仿宋" w:hAnsi="仿宋" w:eastAsia="仿宋"/>
          <w:kern w:val="0"/>
          <w:sz w:val="32"/>
          <w:szCs w:val="32"/>
        </w:rPr>
        <w:t>主要负责项目的规划和审核</w:t>
      </w:r>
      <w:r>
        <w:rPr>
          <w:rFonts w:ascii="仿宋" w:hAnsi="仿宋" w:eastAsia="仿宋"/>
          <w:kern w:val="0"/>
          <w:sz w:val="32"/>
          <w:szCs w:val="32"/>
        </w:rPr>
        <w:t>；财政负责资金的</w:t>
      </w:r>
      <w:r>
        <w:rPr>
          <w:rFonts w:hint="eastAsia" w:ascii="仿宋" w:hAnsi="仿宋" w:eastAsia="仿宋"/>
          <w:kern w:val="0"/>
          <w:sz w:val="32"/>
          <w:szCs w:val="32"/>
        </w:rPr>
        <w:t>拨付和管理</w:t>
      </w:r>
      <w:r>
        <w:rPr>
          <w:rFonts w:ascii="仿宋" w:hAnsi="仿宋" w:eastAsia="仿宋"/>
          <w:kern w:val="0"/>
          <w:sz w:val="32"/>
          <w:szCs w:val="32"/>
        </w:rPr>
        <w:t>；</w:t>
      </w:r>
      <w:r>
        <w:rPr>
          <w:rFonts w:hint="eastAsia" w:ascii="仿宋" w:hAnsi="仿宋" w:eastAsia="仿宋"/>
          <w:kern w:val="0"/>
          <w:sz w:val="32"/>
          <w:szCs w:val="32"/>
        </w:rPr>
        <w:t>审计、纪检监察部门主要负责资金的审计、监督和违规违纪案件的查处</w:t>
      </w:r>
      <w:r>
        <w:rPr>
          <w:rFonts w:ascii="仿宋" w:hAnsi="仿宋" w:eastAsia="仿宋"/>
          <w:kern w:val="0"/>
          <w:sz w:val="32"/>
          <w:szCs w:val="32"/>
        </w:rPr>
        <w:t>；</w:t>
      </w:r>
      <w:r>
        <w:rPr>
          <w:rFonts w:hint="eastAsia" w:ascii="仿宋" w:hAnsi="仿宋" w:eastAsia="仿宋"/>
          <w:kern w:val="0"/>
          <w:sz w:val="32"/>
          <w:szCs w:val="32"/>
        </w:rPr>
        <w:t>各项目实施单位主要负责扶贫项目的申报、扶贫项目的确定、实施管理及检查验收。</w:t>
      </w:r>
      <w:r>
        <w:rPr>
          <w:rFonts w:ascii="仿宋" w:hAnsi="仿宋" w:eastAsia="仿宋"/>
          <w:kern w:val="0"/>
          <w:sz w:val="32"/>
          <w:szCs w:val="32"/>
        </w:rPr>
        <w:t>项目检查验收由</w:t>
      </w:r>
      <w:r>
        <w:rPr>
          <w:rFonts w:hint="eastAsia" w:ascii="仿宋" w:hAnsi="仿宋" w:eastAsia="仿宋"/>
          <w:kern w:val="0"/>
          <w:sz w:val="32"/>
          <w:szCs w:val="32"/>
        </w:rPr>
        <w:t>扶贫办，组织相关部门成立监督检查验收工作小组，进行全面检查验收。</w:t>
      </w:r>
      <w:r>
        <w:rPr>
          <w:rFonts w:hint="eastAsia" w:ascii="仿宋" w:hAnsi="仿宋" w:eastAsia="仿宋"/>
          <w:b/>
          <w:bCs/>
          <w:kern w:val="0"/>
          <w:sz w:val="32"/>
          <w:szCs w:val="32"/>
        </w:rPr>
        <w:t>第二章立项管理，共6条。</w:t>
      </w:r>
      <w:r>
        <w:rPr>
          <w:rFonts w:hint="eastAsia" w:ascii="仿宋" w:hAnsi="仿宋" w:eastAsia="仿宋"/>
          <w:kern w:val="0"/>
          <w:sz w:val="32"/>
          <w:szCs w:val="32"/>
        </w:rPr>
        <w:t>主要明确立项管理程序，由</w:t>
      </w:r>
      <w:r>
        <w:rPr>
          <w:rFonts w:hint="eastAsia" w:ascii="仿宋_GB2312" w:eastAsia="仿宋_GB2312"/>
          <w:sz w:val="32"/>
          <w:szCs w:val="32"/>
        </w:rPr>
        <w:t>各项目实施单位对脱贫攻坚扶贫项目的编报</w:t>
      </w:r>
      <w:r>
        <w:rPr>
          <w:rFonts w:ascii="仿宋" w:hAnsi="仿宋" w:eastAsia="仿宋"/>
          <w:sz w:val="32"/>
          <w:szCs w:val="32"/>
        </w:rPr>
        <w:t>，</w:t>
      </w:r>
      <w:r>
        <w:rPr>
          <w:rFonts w:hint="eastAsia" w:ascii="仿宋" w:hAnsi="仿宋" w:eastAsia="仿宋"/>
          <w:sz w:val="32"/>
          <w:szCs w:val="32"/>
          <w:lang w:eastAsia="zh-CN"/>
        </w:rPr>
        <w:t>并</w:t>
      </w:r>
      <w:r>
        <w:rPr>
          <w:rFonts w:hint="eastAsia" w:ascii="仿宋" w:hAnsi="仿宋" w:eastAsia="仿宋"/>
          <w:sz w:val="32"/>
          <w:szCs w:val="32"/>
        </w:rPr>
        <w:t>以各项目实施单位名义上报至市扶贫部门纳入项目库；</w:t>
      </w:r>
      <w:r>
        <w:rPr>
          <w:rFonts w:ascii="仿宋" w:hAnsi="仿宋" w:eastAsia="仿宋"/>
          <w:sz w:val="32"/>
          <w:szCs w:val="32"/>
        </w:rPr>
        <w:t>扶贫</w:t>
      </w:r>
      <w:r>
        <w:rPr>
          <w:rFonts w:hint="eastAsia" w:ascii="仿宋" w:hAnsi="仿宋" w:eastAsia="仿宋"/>
          <w:sz w:val="32"/>
          <w:szCs w:val="32"/>
        </w:rPr>
        <w:t>办</w:t>
      </w:r>
      <w:r>
        <w:rPr>
          <w:rFonts w:ascii="仿宋" w:hAnsi="仿宋" w:eastAsia="仿宋"/>
          <w:sz w:val="32"/>
          <w:szCs w:val="32"/>
        </w:rPr>
        <w:t>根据省发改委、省财政厅下达给我</w:t>
      </w:r>
      <w:r>
        <w:rPr>
          <w:rFonts w:hint="eastAsia" w:ascii="仿宋" w:hAnsi="仿宋" w:eastAsia="仿宋"/>
          <w:sz w:val="32"/>
          <w:szCs w:val="32"/>
        </w:rPr>
        <w:t>市</w:t>
      </w:r>
      <w:r>
        <w:rPr>
          <w:rFonts w:ascii="仿宋" w:hAnsi="仿宋" w:eastAsia="仿宋"/>
          <w:sz w:val="32"/>
          <w:szCs w:val="32"/>
        </w:rPr>
        <w:t>的年度扶贫资金安排计划，作出</w:t>
      </w:r>
      <w:r>
        <w:rPr>
          <w:rFonts w:hint="eastAsia" w:ascii="仿宋" w:hAnsi="仿宋" w:eastAsia="仿宋"/>
          <w:sz w:val="32"/>
          <w:szCs w:val="32"/>
        </w:rPr>
        <w:t>年度资金项目建设计划；各项目实施单位根据市扶贫部门下达的资金项目建设计划，确定本年度实施扶贫项目的内容与规模；市扶贫部门对项目实施单位上报的项目预算、实施方案、带动贫困户名单等相关要件的完整性进行审查</w:t>
      </w:r>
      <w:r>
        <w:rPr>
          <w:rFonts w:ascii="仿宋" w:hAnsi="仿宋" w:eastAsia="仿宋"/>
          <w:sz w:val="32"/>
          <w:szCs w:val="32"/>
        </w:rPr>
        <w:t>，</w:t>
      </w:r>
      <w:r>
        <w:rPr>
          <w:rFonts w:hint="eastAsia" w:ascii="仿宋" w:hAnsi="仿宋" w:eastAsia="仿宋"/>
          <w:sz w:val="32"/>
          <w:szCs w:val="32"/>
        </w:rPr>
        <w:t>并</w:t>
      </w:r>
      <w:r>
        <w:rPr>
          <w:rFonts w:ascii="仿宋" w:hAnsi="仿宋" w:eastAsia="仿宋"/>
          <w:sz w:val="32"/>
          <w:szCs w:val="32"/>
        </w:rPr>
        <w:t>进行备案</w:t>
      </w:r>
      <w:r>
        <w:rPr>
          <w:rFonts w:hint="eastAsia" w:ascii="仿宋" w:hAnsi="仿宋" w:eastAsia="仿宋"/>
          <w:sz w:val="32"/>
          <w:szCs w:val="32"/>
        </w:rPr>
        <w:t>；各项目实施单位要严格按照项目建设计划和实施方案组织实施，并严格执行扶贫项目公示公告制，对本年度项目及资金安排进行公示。</w:t>
      </w:r>
      <w:r>
        <w:rPr>
          <w:rFonts w:hint="eastAsia" w:ascii="仿宋" w:hAnsi="仿宋" w:eastAsia="仿宋"/>
          <w:b/>
          <w:bCs/>
          <w:sz w:val="32"/>
          <w:szCs w:val="32"/>
        </w:rPr>
        <w:t>第三章项目实施，共</w:t>
      </w:r>
      <w:r>
        <w:rPr>
          <w:rFonts w:hint="eastAsia" w:ascii="仿宋" w:hAnsi="仿宋" w:eastAsia="仿宋"/>
          <w:b/>
          <w:bCs/>
          <w:sz w:val="32"/>
          <w:szCs w:val="32"/>
          <w:lang w:val="en-US" w:eastAsia="zh-CN"/>
        </w:rPr>
        <w:t>4</w:t>
      </w:r>
      <w:r>
        <w:rPr>
          <w:rFonts w:hint="eastAsia" w:ascii="仿宋" w:hAnsi="仿宋" w:eastAsia="仿宋"/>
          <w:b/>
          <w:bCs/>
          <w:sz w:val="32"/>
          <w:szCs w:val="32"/>
        </w:rPr>
        <w:t>条</w:t>
      </w:r>
      <w:r>
        <w:rPr>
          <w:rFonts w:hint="eastAsia" w:ascii="仿宋" w:hAnsi="仿宋" w:eastAsia="仿宋"/>
          <w:sz w:val="32"/>
          <w:szCs w:val="32"/>
        </w:rPr>
        <w:t>。主要是对项目实施单位作出具体要求。</w:t>
      </w:r>
      <w:r>
        <w:rPr>
          <w:rFonts w:ascii="仿宋" w:hAnsi="仿宋" w:eastAsia="仿宋"/>
          <w:sz w:val="32"/>
          <w:szCs w:val="32"/>
        </w:rPr>
        <w:t>项目实施单位根据各个扶贫项目的性质进行确定。非技术性复杂、并需要大量群众投工投劳的项目，一般由乡镇（场）政府作为实施单位</w:t>
      </w:r>
      <w:r>
        <w:rPr>
          <w:rFonts w:hint="eastAsia" w:ascii="仿宋" w:hAnsi="仿宋" w:eastAsia="仿宋"/>
          <w:sz w:val="32"/>
          <w:szCs w:val="32"/>
        </w:rPr>
        <w:t>，其他</w:t>
      </w:r>
      <w:r>
        <w:rPr>
          <w:rFonts w:ascii="仿宋" w:hAnsi="仿宋" w:eastAsia="仿宋"/>
          <w:sz w:val="32"/>
          <w:szCs w:val="32"/>
        </w:rPr>
        <w:t>通过招投标等方式实施。</w:t>
      </w:r>
      <w:r>
        <w:rPr>
          <w:rFonts w:hint="eastAsia" w:ascii="仿宋" w:hAnsi="仿宋" w:eastAsia="仿宋"/>
          <w:sz w:val="32"/>
          <w:szCs w:val="32"/>
        </w:rPr>
        <w:t>实施过程中出具相关文本。</w:t>
      </w:r>
      <w:r>
        <w:rPr>
          <w:rFonts w:hint="eastAsia" w:ascii="仿宋" w:hAnsi="仿宋" w:eastAsia="仿宋"/>
          <w:b/>
          <w:bCs/>
          <w:sz w:val="32"/>
          <w:szCs w:val="32"/>
        </w:rPr>
        <w:t>第四章项目监管与验收，共6条。</w:t>
      </w:r>
      <w:r>
        <w:rPr>
          <w:rFonts w:hint="eastAsia" w:ascii="仿宋" w:hAnsi="仿宋" w:eastAsia="仿宋"/>
          <w:sz w:val="32"/>
          <w:szCs w:val="32"/>
        </w:rPr>
        <w:t>主要明确了项目监管和验收程序和要求，</w:t>
      </w:r>
      <w:r>
        <w:rPr>
          <w:rFonts w:hint="eastAsia" w:ascii="仿宋" w:hAnsi="仿宋" w:eastAsia="仿宋"/>
          <w:sz w:val="32"/>
          <w:szCs w:val="32"/>
          <w:lang w:eastAsia="zh-CN"/>
        </w:rPr>
        <w:t>项目竣工后，由项目实施单位组织相关单位和部门组织验收</w:t>
      </w:r>
      <w:r>
        <w:rPr>
          <w:rFonts w:ascii="仿宋" w:hAnsi="仿宋" w:eastAsia="仿宋"/>
          <w:sz w:val="32"/>
          <w:szCs w:val="32"/>
        </w:rPr>
        <w:t>。</w:t>
      </w:r>
      <w:r>
        <w:rPr>
          <w:rFonts w:hint="eastAsia" w:ascii="仿宋" w:hAnsi="仿宋" w:eastAsia="仿宋"/>
          <w:sz w:val="32"/>
          <w:szCs w:val="32"/>
          <w:lang w:eastAsia="zh-CN"/>
        </w:rPr>
        <w:t>投资额度较大、建设工期较长的项目，项目实施单位必须定期向市扶贫部门递交《项目施工进度报告》。市扶贫部门组织相关部门成立项目监督检查工作小组，采取定期或不定期的方式，及时有效的开展项目监督、检查工作。</w:t>
      </w:r>
      <w:r>
        <w:rPr>
          <w:rFonts w:hint="eastAsia" w:ascii="仿宋" w:hAnsi="仿宋" w:eastAsia="仿宋"/>
          <w:b/>
          <w:bCs/>
          <w:sz w:val="32"/>
          <w:szCs w:val="32"/>
        </w:rPr>
        <w:t>第五章资金预算与分配，共3条。</w:t>
      </w:r>
      <w:r>
        <w:rPr>
          <w:rFonts w:hint="eastAsia" w:ascii="仿宋" w:hAnsi="仿宋" w:eastAsia="仿宋"/>
          <w:sz w:val="32"/>
          <w:szCs w:val="32"/>
        </w:rPr>
        <w:t>说明了扶贫资金投向及分配方法，</w:t>
      </w:r>
      <w:r>
        <w:rPr>
          <w:rFonts w:ascii="仿宋" w:hAnsi="仿宋" w:eastAsia="仿宋" w:cs="Times New Roman"/>
          <w:sz w:val="32"/>
          <w:szCs w:val="32"/>
        </w:rPr>
        <w:t>资金分配的因素主要包括各乡</w:t>
      </w:r>
      <w:r>
        <w:rPr>
          <w:rFonts w:hint="eastAsia" w:ascii="仿宋" w:hAnsi="仿宋" w:eastAsia="仿宋" w:cs="Times New Roman"/>
          <w:sz w:val="32"/>
          <w:szCs w:val="32"/>
        </w:rPr>
        <w:t>（</w:t>
      </w:r>
      <w:r>
        <w:rPr>
          <w:rFonts w:ascii="仿宋" w:hAnsi="仿宋" w:eastAsia="仿宋" w:cs="Times New Roman"/>
          <w:sz w:val="32"/>
          <w:szCs w:val="32"/>
        </w:rPr>
        <w:t>镇</w:t>
      </w:r>
      <w:r>
        <w:rPr>
          <w:rFonts w:hint="eastAsia" w:ascii="仿宋" w:hAnsi="仿宋" w:eastAsia="仿宋" w:cs="Times New Roman"/>
          <w:sz w:val="32"/>
          <w:szCs w:val="32"/>
        </w:rPr>
        <w:t>）</w:t>
      </w:r>
      <w:r>
        <w:rPr>
          <w:rFonts w:ascii="仿宋" w:hAnsi="仿宋" w:eastAsia="仿宋" w:cs="Times New Roman"/>
          <w:sz w:val="32"/>
          <w:szCs w:val="32"/>
        </w:rPr>
        <w:t>扶贫对象规模及比例、农民人均纯收入、贫困深度等客观因素和政策性因素。</w:t>
      </w:r>
      <w:r>
        <w:rPr>
          <w:rFonts w:hint="eastAsia" w:ascii="仿宋" w:hAnsi="仿宋" w:eastAsia="仿宋" w:cs="Times New Roman"/>
          <w:b/>
          <w:bCs/>
          <w:sz w:val="32"/>
          <w:szCs w:val="32"/>
        </w:rPr>
        <w:t>第六章资金使用与拨付，共5条</w:t>
      </w:r>
      <w:r>
        <w:rPr>
          <w:rFonts w:hint="eastAsia" w:ascii="仿宋" w:hAnsi="仿宋" w:eastAsia="仿宋" w:cs="Times New Roman"/>
          <w:sz w:val="32"/>
          <w:szCs w:val="32"/>
        </w:rPr>
        <w:t>。明确了扶贫资金使用范围，主要是支持特色产业发展及保障扶贫对象持续收益和改善贫困村屯基本生产生活条件。</w:t>
      </w:r>
      <w:r>
        <w:rPr>
          <w:rFonts w:hint="eastAsia" w:ascii="仿宋" w:hAnsi="仿宋" w:eastAsia="仿宋" w:cs="Times New Roman"/>
          <w:sz w:val="32"/>
          <w:szCs w:val="32"/>
          <w:lang w:eastAsia="zh-CN"/>
        </w:rPr>
        <w:t>明确了扶贫资金及项目管理费的“负面清单”。</w:t>
      </w:r>
      <w:r>
        <w:rPr>
          <w:rFonts w:hint="eastAsia" w:ascii="仿宋" w:hAnsi="仿宋" w:eastAsia="仿宋" w:cs="Times New Roman"/>
          <w:b/>
          <w:bCs/>
          <w:sz w:val="32"/>
          <w:szCs w:val="32"/>
        </w:rPr>
        <w:t>第七章资金管理和监督，共</w:t>
      </w:r>
      <w:r>
        <w:rPr>
          <w:rFonts w:hint="eastAsia" w:ascii="仿宋" w:hAnsi="仿宋" w:eastAsia="仿宋" w:cs="Times New Roman"/>
          <w:b/>
          <w:bCs/>
          <w:sz w:val="32"/>
          <w:szCs w:val="32"/>
          <w:lang w:val="en-US" w:eastAsia="zh-CN"/>
        </w:rPr>
        <w:t>2</w:t>
      </w:r>
      <w:r>
        <w:rPr>
          <w:rFonts w:hint="eastAsia" w:ascii="仿宋" w:hAnsi="仿宋" w:eastAsia="仿宋" w:cs="Times New Roman"/>
          <w:b/>
          <w:bCs/>
          <w:sz w:val="32"/>
          <w:szCs w:val="32"/>
        </w:rPr>
        <w:t>条。</w:t>
      </w:r>
      <w:r>
        <w:rPr>
          <w:rFonts w:hint="eastAsia" w:ascii="仿宋" w:hAnsi="仿宋" w:eastAsia="仿宋" w:cs="Times New Roman"/>
          <w:sz w:val="32"/>
          <w:szCs w:val="32"/>
        </w:rPr>
        <w:t>财政部门做好资金拨付和监管职能，审计、</w:t>
      </w:r>
      <w:r>
        <w:rPr>
          <w:rFonts w:hint="eastAsia" w:ascii="仿宋" w:hAnsi="仿宋" w:eastAsia="仿宋" w:cs="Times New Roman"/>
          <w:sz w:val="32"/>
          <w:szCs w:val="32"/>
          <w:lang w:eastAsia="zh-CN"/>
        </w:rPr>
        <w:t>纪检</w:t>
      </w:r>
      <w:r>
        <w:rPr>
          <w:rFonts w:hint="eastAsia" w:ascii="仿宋" w:hAnsi="仿宋" w:eastAsia="仿宋" w:cs="Times New Roman"/>
          <w:sz w:val="32"/>
          <w:szCs w:val="32"/>
        </w:rPr>
        <w:t>监察部门进行审检并对违规违纪做出处理。</w:t>
      </w:r>
      <w:r>
        <w:rPr>
          <w:rFonts w:hint="eastAsia" w:ascii="仿宋" w:hAnsi="仿宋" w:eastAsia="仿宋" w:cs="Times New Roman"/>
          <w:b/>
          <w:bCs/>
          <w:sz w:val="32"/>
          <w:szCs w:val="32"/>
        </w:rPr>
        <w:t>第八章附则，共</w:t>
      </w:r>
      <w:r>
        <w:rPr>
          <w:rFonts w:hint="eastAsia" w:ascii="仿宋" w:hAnsi="仿宋" w:eastAsia="仿宋" w:cs="Times New Roman"/>
          <w:b/>
          <w:bCs/>
          <w:sz w:val="32"/>
          <w:szCs w:val="32"/>
          <w:lang w:val="en-US" w:eastAsia="zh-CN"/>
        </w:rPr>
        <w:t>1</w:t>
      </w:r>
      <w:r>
        <w:rPr>
          <w:rFonts w:hint="eastAsia" w:ascii="仿宋" w:hAnsi="仿宋" w:eastAsia="仿宋" w:cs="Times New Roman"/>
          <w:b/>
          <w:bCs/>
          <w:sz w:val="32"/>
          <w:szCs w:val="32"/>
        </w:rPr>
        <w:t>条。</w:t>
      </w:r>
      <w:r>
        <w:rPr>
          <w:rFonts w:hint="eastAsia" w:ascii="仿宋" w:hAnsi="仿宋" w:eastAsia="仿宋" w:cs="Times New Roman"/>
          <w:sz w:val="32"/>
          <w:szCs w:val="32"/>
        </w:rPr>
        <w:t>明确实施日期。</w:t>
      </w:r>
    </w:p>
    <w:p>
      <w:pPr>
        <w:widowControl w:val="0"/>
        <w:wordWrap/>
        <w:adjustRightInd/>
        <w:snapToGrid/>
        <w:spacing w:before="0" w:after="0" w:line="560" w:lineRule="exact"/>
        <w:ind w:left="0" w:leftChars="0" w:right="0" w:firstLine="640"/>
        <w:textAlignment w:val="auto"/>
        <w:outlineLvl w:val="9"/>
        <w:rPr>
          <w:rFonts w:ascii="仿宋" w:hAnsi="仿宋" w:eastAsia="仿宋" w:cs="仿宋"/>
          <w:b/>
          <w:bCs/>
          <w:sz w:val="32"/>
          <w:szCs w:val="32"/>
        </w:rPr>
      </w:pPr>
    </w:p>
    <w:sectPr>
      <w:headerReference r:id="rId3" w:type="default"/>
      <w:footerReference r:id="rId4" w:type="default"/>
      <w:pgSz w:w="11906" w:h="16838"/>
      <w:pgMar w:top="1417" w:right="1417" w:bottom="850"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kern w:val="0"/>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楷体" w:hAnsi="楷体" w:eastAsia="楷体" w:cs="楷体"/>
                              <w:sz w:val="28"/>
                              <w:szCs w:val="28"/>
                              <w:lang w:eastAsia="zh-CN"/>
                            </w:rPr>
                            <w:fldChar w:fldCharType="begin"/>
                          </w:r>
                          <w:r>
                            <w:rPr>
                              <w:rFonts w:hint="eastAsia" w:ascii="楷体" w:hAnsi="楷体" w:eastAsia="楷体" w:cs="楷体"/>
                              <w:sz w:val="28"/>
                              <w:szCs w:val="28"/>
                              <w:lang w:eastAsia="zh-CN"/>
                            </w:rPr>
                            <w:instrText xml:space="preserve"> PAGE  \* MERGEFORMAT </w:instrText>
                          </w:r>
                          <w:r>
                            <w:rPr>
                              <w:rFonts w:hint="eastAsia" w:ascii="楷体" w:hAnsi="楷体" w:eastAsia="楷体" w:cs="楷体"/>
                              <w:sz w:val="28"/>
                              <w:szCs w:val="28"/>
                              <w:lang w:eastAsia="zh-CN"/>
                            </w:rPr>
                            <w:fldChar w:fldCharType="separate"/>
                          </w:r>
                          <w:r>
                            <w:rPr>
                              <w:rFonts w:hint="eastAsia" w:ascii="楷体" w:hAnsi="楷体" w:eastAsia="楷体" w:cs="楷体"/>
                              <w:sz w:val="28"/>
                              <w:szCs w:val="28"/>
                            </w:rPr>
                            <w:t>1</w:t>
                          </w:r>
                          <w:r>
                            <w:rPr>
                              <w:rFonts w:hint="eastAsia" w:ascii="楷体" w:hAnsi="楷体" w:eastAsia="楷体" w:cs="楷体"/>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GZR60BAABK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s8d6cPscakh4Bpabj2Q84c/RGdWfSgwOYvyiEY&#10;xz4fzr2VQyIiP1oulssKQwJj0wVx2MvzADHdSW9JNhoKOLzSU77/HNMpdUrJ1Zy/1cagn9fG/eVA&#10;zOxhmfuJY7bSsBlG4hvfHlBPj3NvqMPFpMTcO2xrXpHJgMnYTMYugN52ZYdyvRiudglJFG65wgl2&#10;LIwDK+rG5cob8fpesl5+gfU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UBmUetAQAASgMA&#10;AA4AAAAAAAAAAQAgAAAAHgEAAGRycy9lMm9Eb2MueG1sUEsFBgAAAAAGAAYAWQEAAD0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楷体" w:hAnsi="楷体" w:eastAsia="楷体" w:cs="楷体"/>
                        <w:sz w:val="28"/>
                        <w:szCs w:val="28"/>
                        <w:lang w:eastAsia="zh-CN"/>
                      </w:rPr>
                      <w:fldChar w:fldCharType="begin"/>
                    </w:r>
                    <w:r>
                      <w:rPr>
                        <w:rFonts w:hint="eastAsia" w:ascii="楷体" w:hAnsi="楷体" w:eastAsia="楷体" w:cs="楷体"/>
                        <w:sz w:val="28"/>
                        <w:szCs w:val="28"/>
                        <w:lang w:eastAsia="zh-CN"/>
                      </w:rPr>
                      <w:instrText xml:space="preserve"> PAGE  \* MERGEFORMAT </w:instrText>
                    </w:r>
                    <w:r>
                      <w:rPr>
                        <w:rFonts w:hint="eastAsia" w:ascii="楷体" w:hAnsi="楷体" w:eastAsia="楷体" w:cs="楷体"/>
                        <w:sz w:val="28"/>
                        <w:szCs w:val="28"/>
                        <w:lang w:eastAsia="zh-CN"/>
                      </w:rPr>
                      <w:fldChar w:fldCharType="separate"/>
                    </w:r>
                    <w:r>
                      <w:rPr>
                        <w:rFonts w:hint="eastAsia" w:ascii="楷体" w:hAnsi="楷体" w:eastAsia="楷体" w:cs="楷体"/>
                        <w:sz w:val="28"/>
                        <w:szCs w:val="28"/>
                      </w:rPr>
                      <w:t>1</w:t>
                    </w:r>
                    <w:r>
                      <w:rPr>
                        <w:rFonts w:hint="eastAsia" w:ascii="楷体" w:hAnsi="楷体" w:eastAsia="楷体" w:cs="楷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46418"/>
    <w:rsid w:val="14F051F8"/>
    <w:rsid w:val="29DE2051"/>
    <w:rsid w:val="4868011A"/>
    <w:rsid w:val="6F1249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szCs w:val="22"/>
    </w:rPr>
  </w:style>
  <w:style w:type="paragraph" w:customStyle="1" w:styleId="7">
    <w:name w:val="p0"/>
    <w:basedOn w:val="1"/>
    <w:qFormat/>
    <w:uiPriority w:val="0"/>
    <w:pPr>
      <w:widowControl/>
      <w:spacing w:line="365" w:lineRule="atLeast"/>
      <w:ind w:left="1"/>
    </w:pPr>
    <w:rPr>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xitong114.com</Company>
  <Pages>3</Pages>
  <Words>1285</Words>
  <Characters>21</Characters>
  <Lines>1</Lines>
  <Paragraphs>2</Paragraphs>
  <TotalTime>16</TotalTime>
  <ScaleCrop>false</ScaleCrop>
  <LinksUpToDate>false</LinksUpToDate>
  <CharactersWithSpaces>0</CharactersWithSpaces>
  <Application>WPS Office_11.1.0.8784_F1E327BC-269C-435d-A152-05C5408002CA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2019-09-27T01:55:56Z</dcterms:modified>
  <dc:title>市政府第十一次常务会议材料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