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6"/>
      <w:r>
        <w:rPr>
          <w:rFonts w:hint="eastAsia" w:ascii="方正小标宋_GBK" w:hAnsi="方正小标宋_GBK" w:eastAsia="方正小标宋_GBK"/>
          <w:b w:val="0"/>
          <w:bCs w:val="0"/>
          <w:sz w:val="30"/>
        </w:rPr>
        <w:t>义务教育领域基层政务公开标准目录</w:t>
      </w:r>
      <w:bookmarkEnd w:id="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■政府网站           ■公开查阅点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■公开查阅点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ascii="仿宋_GB2312" w:hAnsi="宋体" w:eastAsia="仿宋_GB2312" w:cs="宋体"/>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ascii="仿宋_GB2312" w:hAnsi="仿宋" w:eastAsia="仿宋_GB2312"/>
                <w:color w:val="000000"/>
                <w:sz w:val="18"/>
                <w:szCs w:val="18"/>
              </w:rPr>
            </w:pPr>
            <w:r>
              <w:rPr>
                <w:rFonts w:hint="eastAsia" w:ascii="仿宋_GB2312" w:hAnsi="仿宋" w:eastAsia="仿宋_GB2312"/>
                <w:color w:val="000000"/>
                <w:sz w:val="18"/>
                <w:szCs w:val="18"/>
              </w:rPr>
              <w:t>■纸质媒体           ■公开查阅点</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ascii="仿宋_GB2312" w:hAnsi="宋体" w:eastAsia="仿宋_GB2312" w:cs="宋体"/>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ascii="仿宋_GB2312" w:hAnsi="宋体" w:eastAsia="仿宋_GB2312" w:cs="宋体"/>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 xml:space="preserve">■社区/企事业单位/村公示栏（电子屏）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spacing w:line="240" w:lineRule="exac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jc w:val="center"/>
              <w:rPr>
                <w:rFonts w:ascii="仿宋_GB2312" w:hAnsi="宋体" w:eastAsia="仿宋_GB2312" w:cs="宋体"/>
                <w:color w:val="000000"/>
                <w:sz w:val="18"/>
                <w:szCs w:val="18"/>
              </w:rPr>
            </w:pP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■纸质媒体           ■公开查阅点</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■便民服务站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2160" w:type="dxa"/>
            <w:shd w:val="clear" w:color="auto" w:fill="auto"/>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shd w:val="clear" w:color="auto" w:fill="auto"/>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■政府网站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sz w:val="18"/>
                <w:szCs w:val="18"/>
              </w:rPr>
            </w:pPr>
          </w:p>
        </w:tc>
        <w:tc>
          <w:tcPr>
            <w:tcW w:w="540" w:type="dxa"/>
            <w:vMerge w:val="continue"/>
            <w:vAlign w:val="center"/>
          </w:tcPr>
          <w:p>
            <w:pPr>
              <w:rPr>
                <w:rFonts w:ascii="仿宋_GB2312" w:hAnsi="宋体" w:eastAsia="仿宋_GB2312" w:cs="宋体"/>
                <w:sz w:val="18"/>
                <w:szCs w:val="18"/>
              </w:rPr>
            </w:pP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pPr>
              <w:rPr>
                <w:rFonts w:ascii="仿宋_GB2312" w:hAnsi="宋体" w:eastAsia="仿宋_GB2312" w:cs="宋体"/>
                <w:color w:val="000000"/>
                <w:sz w:val="18"/>
                <w:szCs w:val="18"/>
              </w:rPr>
            </w:pP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 xml:space="preserve">■两微一端  </w:t>
            </w:r>
          </w:p>
          <w:p>
            <w:pPr>
              <w:rPr>
                <w:rFonts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footerReference r:id="rId3" w:type="default"/>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7089"/>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F2"/>
    <w:rsid w:val="001503F2"/>
    <w:rsid w:val="00266344"/>
    <w:rsid w:val="003B315C"/>
    <w:rsid w:val="004224D1"/>
    <w:rsid w:val="006B4917"/>
    <w:rsid w:val="0071700E"/>
    <w:rsid w:val="008538C7"/>
    <w:rsid w:val="009C6164"/>
    <w:rsid w:val="00B777E5"/>
    <w:rsid w:val="00EF37B9"/>
    <w:rsid w:val="00F95C09"/>
    <w:rsid w:val="374C096F"/>
    <w:rsid w:val="47E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widowControl/>
      <w:adjustRightInd w:val="0"/>
      <w:snapToGrid w:val="0"/>
      <w:jc w:val="left"/>
    </w:pPr>
    <w:rPr>
      <w:rFonts w:ascii="Tahoma" w:hAnsi="Tahoma" w:eastAsia="微软雅黑"/>
      <w:kern w:val="0"/>
      <w:sz w:val="18"/>
      <w:szCs w:val="18"/>
    </w:rPr>
  </w:style>
  <w:style w:type="paragraph" w:styleId="4">
    <w:name w:val="footer"/>
    <w:basedOn w:val="1"/>
    <w:link w:val="10"/>
    <w:unhideWhenUsed/>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5">
    <w:name w:val="header"/>
    <w:basedOn w:val="1"/>
    <w:link w:val="9"/>
    <w:semiHidden/>
    <w:unhideWhenUsed/>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qFormat/>
    <w:uiPriority w:val="99"/>
    <w:rPr>
      <w:rFonts w:ascii="Tahoma" w:hAnsi="Tahoma" w:eastAsia="微软雅黑" w:cs="Times New Roman"/>
      <w:kern w:val="0"/>
      <w:sz w:val="18"/>
      <w:szCs w:val="18"/>
    </w:rPr>
  </w:style>
  <w:style w:type="character" w:customStyle="1" w:styleId="10">
    <w:name w:val="页脚 Char"/>
    <w:basedOn w:val="8"/>
    <w:link w:val="4"/>
    <w:uiPriority w:val="99"/>
    <w:rPr>
      <w:rFonts w:ascii="Tahoma" w:hAnsi="Tahoma" w:eastAsia="微软雅黑" w:cs="Times New Roman"/>
      <w:kern w:val="0"/>
      <w:sz w:val="18"/>
      <w:szCs w:val="18"/>
    </w:rPr>
  </w:style>
  <w:style w:type="character" w:customStyle="1" w:styleId="11">
    <w:name w:val="批注框文本 Char"/>
    <w:basedOn w:val="8"/>
    <w:link w:val="3"/>
    <w:semiHidden/>
    <w:uiPriority w:val="99"/>
    <w:rPr>
      <w:rFonts w:ascii="Tahoma" w:hAnsi="Tahoma" w:eastAsia="微软雅黑" w:cs="Times New Roman"/>
      <w:kern w:val="0"/>
      <w:sz w:val="18"/>
      <w:szCs w:val="18"/>
    </w:rPr>
  </w:style>
  <w:style w:type="paragraph" w:customStyle="1" w:styleId="12">
    <w:name w:val="样式1"/>
    <w:basedOn w:val="1"/>
    <w:qFormat/>
    <w:uiPriority w:val="0"/>
    <w:pPr>
      <w:jc w:val="center"/>
    </w:pPr>
    <w:rPr>
      <w:rFonts w:asciiTheme="minorEastAsia" w:hAnsiTheme="minorEastAsia" w:eastAsiaTheme="minorEastAsia"/>
      <w:b/>
      <w:sz w:val="44"/>
      <w:szCs w:val="44"/>
    </w:rPr>
  </w:style>
  <w:style w:type="character" w:customStyle="1" w:styleId="13">
    <w:name w:val="标题 1 Char"/>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968</Words>
  <Characters>5523</Characters>
  <Lines>46</Lines>
  <Paragraphs>12</Paragraphs>
  <TotalTime>8</TotalTime>
  <ScaleCrop>false</ScaleCrop>
  <LinksUpToDate>false</LinksUpToDate>
  <CharactersWithSpaces>6479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2020-05-20T01:43:00Z</dcterms:created>
  <dc:creator>Administrator</dc:creator>
  <cp:lastModifiedBy>「初晴」</cp:lastModifiedBy>
  <dcterms:modified xsi:type="dcterms:W3CDTF">2020-12-17T01:30:30Z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