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  <w:szCs w:val="30"/>
        </w:rPr>
        <w:t>户籍管理领域基层政务公开标准指引</w:t>
      </w:r>
    </w:p>
    <w:tbl>
      <w:tblPr>
        <w:tblStyle w:val="3"/>
        <w:tblW w:w="0" w:type="auto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09"/>
        <w:gridCol w:w="840"/>
        <w:gridCol w:w="1932"/>
        <w:gridCol w:w="2899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序号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公开事项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公开内容          （要素）</w:t>
            </w:r>
          </w:p>
        </w:tc>
        <w:tc>
          <w:tcPr>
            <w:tcW w:w="2899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color w:val="000000"/>
                <w:kern w:val="0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一级事项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二级事项</w:t>
            </w:r>
          </w:p>
        </w:tc>
        <w:tc>
          <w:tcPr>
            <w:tcW w:w="1932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289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登记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登记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2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收养、入籍等登记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登记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3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注销登记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死亡注销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4</w:t>
            </w: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服现役注销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5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迁移登记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迁出、迁入登记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6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户口登记项目变更更正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姓名变更、更正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7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户口登记项目变更更正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性别变更、更正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8</w:t>
            </w: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民族成份变更、更正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9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暂住登记及居住证管理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暂住登记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10</w:t>
            </w: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居住证申领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11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暂住登记及居住证管理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居住证换、补领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12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暂住登记及居住证管理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居住证签注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13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港澳台居民居住证管理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港澳台居民居住证申领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14</w:t>
            </w: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港澳台居民居住证换、补领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15</w:t>
            </w:r>
          </w:p>
        </w:tc>
        <w:tc>
          <w:tcPr>
            <w:tcW w:w="809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居民身份证管理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居民身份证申领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16</w:t>
            </w: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居民身份证换、补领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17</w:t>
            </w:r>
          </w:p>
        </w:tc>
        <w:tc>
          <w:tcPr>
            <w:tcW w:w="809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临时居民身份证申领、换领、补领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Cs w:val="18"/>
              </w:rPr>
              <w:t>18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居民身份证管理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异地申请换、补领居民身份证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受理部门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办理条件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办理流程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所需材料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办理时限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18"/>
              </w:rPr>
              <w:t>●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收费依据及标准      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18"/>
              </w:rPr>
              <w:t>机关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2020-09-07T07:45:11Z</dcterms:created>
  <dc:creator>adsl</dc:creator>
  <cp:lastModifiedBy>百岁安生不离笑</cp:lastModifiedBy>
  <dcterms:modified xsi:type="dcterms:W3CDTF">2020-09-07T07:45:33Z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