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rPr>
      </w:pPr>
      <w:bookmarkStart w:id="0" w:name="_GoBack"/>
      <w:bookmarkEnd w:id="0"/>
      <w:r>
        <w:rPr>
          <w:rFonts w:hint="eastAsia" w:ascii="方正小标宋_GBK" w:hAnsi="方正小标宋_GBK" w:eastAsia="方正小标宋_GBK"/>
          <w:b w:val="0"/>
          <w:bCs w:val="0"/>
          <w:sz w:val="30"/>
        </w:rPr>
        <w:t>农村危房改造领域基层政务公开标准目录</w:t>
      </w:r>
    </w:p>
    <w:tbl>
      <w:tblPr>
        <w:tblStyle w:val="3"/>
        <w:tblW w:w="14916"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0"/>
        <w:gridCol w:w="867"/>
        <w:gridCol w:w="1215"/>
        <w:gridCol w:w="1908"/>
        <w:gridCol w:w="1735"/>
        <w:gridCol w:w="1351"/>
        <w:gridCol w:w="1387"/>
        <w:gridCol w:w="1945"/>
        <w:gridCol w:w="693"/>
        <w:gridCol w:w="684"/>
        <w:gridCol w:w="531"/>
        <w:gridCol w:w="693"/>
        <w:gridCol w:w="693"/>
        <w:gridCol w:w="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4" w:hRule="atLeast"/>
        </w:trPr>
        <w:tc>
          <w:tcPr>
            <w:tcW w:w="52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082"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08"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735"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351"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387"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945"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377"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24"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387"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atLeast"/>
        </w:trPr>
        <w:tc>
          <w:tcPr>
            <w:tcW w:w="520" w:type="dxa"/>
            <w:vMerge w:val="continue"/>
            <w:noWrap w:val="0"/>
            <w:vAlign w:val="center"/>
          </w:tcPr>
          <w:p>
            <w:pPr>
              <w:widowControl/>
              <w:jc w:val="left"/>
              <w:rPr>
                <w:rFonts w:ascii="Times New Roman" w:hAnsi="Times New Roman"/>
                <w:color w:val="000000"/>
                <w:kern w:val="0"/>
                <w:sz w:val="22"/>
              </w:rPr>
            </w:pPr>
          </w:p>
        </w:tc>
        <w:tc>
          <w:tcPr>
            <w:tcW w:w="867"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15"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08" w:type="dxa"/>
            <w:vMerge w:val="continue"/>
            <w:noWrap w:val="0"/>
            <w:vAlign w:val="center"/>
          </w:tcPr>
          <w:p>
            <w:pPr>
              <w:widowControl/>
              <w:jc w:val="left"/>
              <w:rPr>
                <w:rFonts w:ascii="黑体" w:hAnsi="宋体" w:eastAsia="黑体" w:cs="宋体"/>
                <w:color w:val="000000"/>
                <w:kern w:val="0"/>
                <w:sz w:val="22"/>
              </w:rPr>
            </w:pPr>
          </w:p>
        </w:tc>
        <w:tc>
          <w:tcPr>
            <w:tcW w:w="1735" w:type="dxa"/>
            <w:vMerge w:val="continue"/>
            <w:noWrap w:val="0"/>
            <w:vAlign w:val="center"/>
          </w:tcPr>
          <w:p>
            <w:pPr>
              <w:widowControl/>
              <w:jc w:val="left"/>
              <w:rPr>
                <w:rFonts w:ascii="黑体" w:hAnsi="宋体" w:eastAsia="黑体" w:cs="宋体"/>
                <w:color w:val="000000"/>
                <w:kern w:val="0"/>
                <w:sz w:val="22"/>
              </w:rPr>
            </w:pPr>
          </w:p>
        </w:tc>
        <w:tc>
          <w:tcPr>
            <w:tcW w:w="1351" w:type="dxa"/>
            <w:vMerge w:val="continue"/>
            <w:noWrap w:val="0"/>
            <w:vAlign w:val="center"/>
          </w:tcPr>
          <w:p>
            <w:pPr>
              <w:widowControl/>
              <w:jc w:val="left"/>
              <w:rPr>
                <w:rFonts w:ascii="黑体" w:hAnsi="宋体" w:eastAsia="黑体" w:cs="宋体"/>
                <w:color w:val="000000"/>
                <w:kern w:val="0"/>
                <w:sz w:val="22"/>
              </w:rPr>
            </w:pPr>
          </w:p>
        </w:tc>
        <w:tc>
          <w:tcPr>
            <w:tcW w:w="1387" w:type="dxa"/>
            <w:vMerge w:val="continue"/>
            <w:noWrap w:val="0"/>
            <w:vAlign w:val="center"/>
          </w:tcPr>
          <w:p>
            <w:pPr>
              <w:widowControl/>
              <w:jc w:val="left"/>
              <w:rPr>
                <w:rFonts w:ascii="黑体" w:hAnsi="宋体" w:eastAsia="黑体" w:cs="宋体"/>
                <w:color w:val="000000"/>
                <w:kern w:val="0"/>
                <w:sz w:val="22"/>
              </w:rPr>
            </w:pPr>
          </w:p>
        </w:tc>
        <w:tc>
          <w:tcPr>
            <w:tcW w:w="1945" w:type="dxa"/>
            <w:vMerge w:val="continue"/>
            <w:noWrap w:val="0"/>
            <w:vAlign w:val="center"/>
          </w:tcPr>
          <w:p>
            <w:pPr>
              <w:widowControl/>
              <w:jc w:val="left"/>
              <w:rPr>
                <w:rFonts w:ascii="黑体" w:hAnsi="宋体" w:eastAsia="黑体" w:cs="宋体"/>
                <w:kern w:val="0"/>
                <w:sz w:val="22"/>
              </w:rPr>
            </w:pPr>
          </w:p>
        </w:tc>
        <w:tc>
          <w:tcPr>
            <w:tcW w:w="693"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684"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3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693"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693"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694"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9" w:hRule="atLeast"/>
        </w:trPr>
        <w:tc>
          <w:tcPr>
            <w:tcW w:w="520" w:type="dxa"/>
            <w:noWrap w:val="0"/>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1</w:t>
            </w:r>
          </w:p>
        </w:tc>
        <w:tc>
          <w:tcPr>
            <w:tcW w:w="867"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部门文件</w:t>
            </w:r>
          </w:p>
        </w:tc>
        <w:tc>
          <w:tcPr>
            <w:tcW w:w="1215"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农村危房改造相关文件</w:t>
            </w:r>
          </w:p>
        </w:tc>
        <w:tc>
          <w:tcPr>
            <w:tcW w:w="1908" w:type="dxa"/>
            <w:noWrap w:val="0"/>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文件分类、生成日期、标题、文号、有效性、关键词和具体内容等</w:t>
            </w:r>
          </w:p>
        </w:tc>
        <w:tc>
          <w:tcPr>
            <w:tcW w:w="1735" w:type="dxa"/>
            <w:noWrap w:val="0"/>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《政府信息公开条例》、《关于全面推进政务公开工作的意见》及其实施细则</w:t>
            </w:r>
          </w:p>
        </w:tc>
        <w:tc>
          <w:tcPr>
            <w:tcW w:w="1351" w:type="dxa"/>
            <w:noWrap w:val="0"/>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信息形成之日起20个工作日内</w:t>
            </w:r>
          </w:p>
        </w:tc>
        <w:tc>
          <w:tcPr>
            <w:tcW w:w="1387" w:type="dxa"/>
            <w:noWrap w:val="0"/>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住房和城乡建设等相关职能部门</w:t>
            </w:r>
          </w:p>
        </w:tc>
        <w:tc>
          <w:tcPr>
            <w:tcW w:w="1945" w:type="dxa"/>
            <w:noWrap w:val="0"/>
            <w:vAlign w:val="center"/>
          </w:tcPr>
          <w:p>
            <w:pPr>
              <w:widowControl/>
              <w:rPr>
                <w:rFonts w:ascii="黑体" w:hAnsi="宋体" w:eastAsia="黑体" w:cs="宋体"/>
                <w:kern w:val="0"/>
                <w:sz w:val="22"/>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693"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84" w:type="dxa"/>
            <w:noWrap w:val="0"/>
            <w:vAlign w:val="center"/>
          </w:tcPr>
          <w:p>
            <w:pPr>
              <w:jc w:val="center"/>
              <w:rPr>
                <w:rFonts w:hint="eastAsia" w:ascii="仿宋_GB2312" w:hAnsi="宋体" w:eastAsia="仿宋_GB2312"/>
                <w:color w:val="000000"/>
                <w:sz w:val="18"/>
                <w:szCs w:val="18"/>
              </w:rPr>
            </w:pPr>
          </w:p>
        </w:tc>
        <w:tc>
          <w:tcPr>
            <w:tcW w:w="53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93" w:type="dxa"/>
            <w:noWrap w:val="0"/>
            <w:vAlign w:val="center"/>
          </w:tcPr>
          <w:p>
            <w:pPr>
              <w:jc w:val="center"/>
              <w:rPr>
                <w:rFonts w:hint="eastAsia" w:ascii="仿宋_GB2312" w:hAnsi="宋体" w:eastAsia="仿宋_GB2312"/>
                <w:color w:val="000000"/>
                <w:sz w:val="18"/>
                <w:szCs w:val="18"/>
              </w:rPr>
            </w:pPr>
          </w:p>
        </w:tc>
        <w:tc>
          <w:tcPr>
            <w:tcW w:w="693"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9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5" w:hRule="atLeast"/>
        </w:trPr>
        <w:tc>
          <w:tcPr>
            <w:tcW w:w="52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2</w:t>
            </w:r>
          </w:p>
        </w:tc>
        <w:tc>
          <w:tcPr>
            <w:tcW w:w="867"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1215"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上级政策解读</w:t>
            </w:r>
          </w:p>
        </w:tc>
        <w:tc>
          <w:tcPr>
            <w:tcW w:w="1908"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着重解读政策措施的背景依据、目标任务、主要内容、涉及范围、执行标准，以及注意事项、关键词诠释、惠民利民举措、新旧政策差异等。</w:t>
            </w:r>
          </w:p>
        </w:tc>
        <w:tc>
          <w:tcPr>
            <w:tcW w:w="1735"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《政府信息公开条例》、《关于全面推进政务公开工作的意见》及其实施细则</w:t>
            </w:r>
          </w:p>
        </w:tc>
        <w:tc>
          <w:tcPr>
            <w:tcW w:w="1351"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387"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住房和城乡建设等相关职能部门</w:t>
            </w:r>
          </w:p>
        </w:tc>
        <w:tc>
          <w:tcPr>
            <w:tcW w:w="1945"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693"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84" w:type="dxa"/>
            <w:vMerge w:val="restart"/>
            <w:noWrap w:val="0"/>
            <w:vAlign w:val="center"/>
          </w:tcPr>
          <w:p>
            <w:pPr>
              <w:jc w:val="center"/>
              <w:rPr>
                <w:rFonts w:hint="eastAsia" w:ascii="仿宋_GB2312" w:hAnsi="宋体" w:eastAsia="仿宋_GB2312"/>
                <w:color w:val="000000"/>
                <w:sz w:val="18"/>
                <w:szCs w:val="18"/>
              </w:rPr>
            </w:pPr>
          </w:p>
        </w:tc>
        <w:tc>
          <w:tcPr>
            <w:tcW w:w="531"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93" w:type="dxa"/>
            <w:vMerge w:val="restart"/>
            <w:noWrap w:val="0"/>
            <w:vAlign w:val="center"/>
          </w:tcPr>
          <w:p>
            <w:pPr>
              <w:jc w:val="center"/>
              <w:rPr>
                <w:rFonts w:hint="eastAsia" w:ascii="仿宋_GB2312" w:hAnsi="宋体" w:eastAsia="仿宋_GB2312"/>
                <w:color w:val="000000"/>
                <w:sz w:val="18"/>
                <w:szCs w:val="18"/>
              </w:rPr>
            </w:pPr>
          </w:p>
        </w:tc>
        <w:tc>
          <w:tcPr>
            <w:tcW w:w="693"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94"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2" w:hRule="atLeast"/>
        </w:trPr>
        <w:tc>
          <w:tcPr>
            <w:tcW w:w="52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3</w:t>
            </w:r>
          </w:p>
        </w:tc>
        <w:tc>
          <w:tcPr>
            <w:tcW w:w="867" w:type="dxa"/>
            <w:vMerge w:val="continue"/>
            <w:noWrap w:val="0"/>
            <w:vAlign w:val="center"/>
          </w:tcPr>
          <w:p>
            <w:pPr>
              <w:jc w:val="center"/>
              <w:rPr>
                <w:rFonts w:hint="eastAsia" w:ascii="仿宋_GB2312" w:hAnsi="宋体" w:eastAsia="仿宋_GB2312"/>
                <w:color w:val="000000"/>
                <w:sz w:val="18"/>
                <w:szCs w:val="18"/>
              </w:rPr>
            </w:pPr>
          </w:p>
        </w:tc>
        <w:tc>
          <w:tcPr>
            <w:tcW w:w="1215"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908" w:type="dxa"/>
            <w:vMerge w:val="continue"/>
            <w:noWrap w:val="0"/>
            <w:vAlign w:val="center"/>
          </w:tcPr>
          <w:p>
            <w:pPr>
              <w:widowControl/>
              <w:rPr>
                <w:rFonts w:hint="eastAsia" w:ascii="仿宋_GB2312" w:hAnsi="宋体" w:eastAsia="仿宋_GB2312"/>
                <w:color w:val="000000"/>
                <w:sz w:val="18"/>
                <w:szCs w:val="18"/>
              </w:rPr>
            </w:pPr>
          </w:p>
        </w:tc>
        <w:tc>
          <w:tcPr>
            <w:tcW w:w="1735" w:type="dxa"/>
            <w:vMerge w:val="continue"/>
            <w:noWrap w:val="0"/>
            <w:vAlign w:val="center"/>
          </w:tcPr>
          <w:p>
            <w:pPr>
              <w:widowControl/>
              <w:rPr>
                <w:rFonts w:hint="eastAsia" w:ascii="仿宋_GB2312" w:hAnsi="宋体" w:eastAsia="仿宋_GB2312"/>
                <w:color w:val="000000"/>
                <w:sz w:val="18"/>
                <w:szCs w:val="18"/>
              </w:rPr>
            </w:pPr>
          </w:p>
        </w:tc>
        <w:tc>
          <w:tcPr>
            <w:tcW w:w="1351" w:type="dxa"/>
            <w:vMerge w:val="continue"/>
            <w:noWrap w:val="0"/>
            <w:vAlign w:val="center"/>
          </w:tcPr>
          <w:p>
            <w:pPr>
              <w:widowControl/>
              <w:rPr>
                <w:rFonts w:hint="eastAsia" w:ascii="仿宋_GB2312" w:hAnsi="宋体" w:eastAsia="仿宋_GB2312"/>
                <w:color w:val="000000"/>
                <w:sz w:val="18"/>
                <w:szCs w:val="18"/>
              </w:rPr>
            </w:pPr>
          </w:p>
        </w:tc>
        <w:tc>
          <w:tcPr>
            <w:tcW w:w="1387" w:type="dxa"/>
            <w:vMerge w:val="continue"/>
            <w:noWrap w:val="0"/>
            <w:vAlign w:val="center"/>
          </w:tcPr>
          <w:p>
            <w:pPr>
              <w:widowControl/>
              <w:rPr>
                <w:rFonts w:hint="eastAsia" w:ascii="仿宋_GB2312" w:hAnsi="宋体" w:eastAsia="仿宋_GB2312"/>
                <w:color w:val="000000"/>
                <w:sz w:val="18"/>
                <w:szCs w:val="18"/>
              </w:rPr>
            </w:pPr>
          </w:p>
        </w:tc>
        <w:tc>
          <w:tcPr>
            <w:tcW w:w="1945" w:type="dxa"/>
            <w:vMerge w:val="continue"/>
            <w:noWrap w:val="0"/>
            <w:vAlign w:val="center"/>
          </w:tcPr>
          <w:p>
            <w:pPr>
              <w:widowControl/>
              <w:rPr>
                <w:rFonts w:hint="eastAsia" w:ascii="仿宋_GB2312" w:hAnsi="宋体" w:eastAsia="仿宋_GB2312"/>
                <w:color w:val="000000"/>
                <w:sz w:val="18"/>
                <w:szCs w:val="18"/>
              </w:rPr>
            </w:pPr>
          </w:p>
        </w:tc>
        <w:tc>
          <w:tcPr>
            <w:tcW w:w="693" w:type="dxa"/>
            <w:vMerge w:val="continue"/>
            <w:noWrap w:val="0"/>
            <w:vAlign w:val="center"/>
          </w:tcPr>
          <w:p>
            <w:pPr>
              <w:jc w:val="center"/>
              <w:rPr>
                <w:rFonts w:hint="eastAsia" w:ascii="仿宋_GB2312" w:hAnsi="宋体" w:eastAsia="仿宋_GB2312"/>
                <w:color w:val="000000"/>
                <w:sz w:val="18"/>
                <w:szCs w:val="18"/>
              </w:rPr>
            </w:pPr>
          </w:p>
        </w:tc>
        <w:tc>
          <w:tcPr>
            <w:tcW w:w="684" w:type="dxa"/>
            <w:vMerge w:val="continue"/>
            <w:noWrap w:val="0"/>
            <w:vAlign w:val="center"/>
          </w:tcPr>
          <w:p>
            <w:pPr>
              <w:jc w:val="center"/>
              <w:rPr>
                <w:rFonts w:hint="eastAsia" w:ascii="仿宋_GB2312" w:hAnsi="宋体" w:eastAsia="仿宋_GB2312"/>
                <w:color w:val="000000"/>
                <w:sz w:val="18"/>
                <w:szCs w:val="18"/>
              </w:rPr>
            </w:pPr>
          </w:p>
        </w:tc>
        <w:tc>
          <w:tcPr>
            <w:tcW w:w="531" w:type="dxa"/>
            <w:vMerge w:val="continue"/>
            <w:noWrap w:val="0"/>
            <w:vAlign w:val="center"/>
          </w:tcPr>
          <w:p>
            <w:pPr>
              <w:jc w:val="center"/>
              <w:rPr>
                <w:rFonts w:hint="eastAsia" w:ascii="仿宋_GB2312" w:hAnsi="宋体" w:eastAsia="仿宋_GB2312"/>
                <w:color w:val="000000"/>
                <w:sz w:val="18"/>
                <w:szCs w:val="18"/>
              </w:rPr>
            </w:pPr>
          </w:p>
        </w:tc>
        <w:tc>
          <w:tcPr>
            <w:tcW w:w="693" w:type="dxa"/>
            <w:vMerge w:val="continue"/>
            <w:noWrap w:val="0"/>
            <w:vAlign w:val="center"/>
          </w:tcPr>
          <w:p>
            <w:pPr>
              <w:jc w:val="center"/>
              <w:rPr>
                <w:rFonts w:hint="eastAsia" w:ascii="仿宋_GB2312" w:hAnsi="宋体" w:eastAsia="仿宋_GB2312"/>
                <w:color w:val="000000"/>
                <w:sz w:val="18"/>
                <w:szCs w:val="18"/>
              </w:rPr>
            </w:pPr>
          </w:p>
        </w:tc>
        <w:tc>
          <w:tcPr>
            <w:tcW w:w="693" w:type="dxa"/>
            <w:vMerge w:val="continue"/>
            <w:noWrap w:val="0"/>
            <w:vAlign w:val="center"/>
          </w:tcPr>
          <w:p>
            <w:pPr>
              <w:jc w:val="center"/>
              <w:rPr>
                <w:rFonts w:hint="eastAsia" w:ascii="仿宋_GB2312" w:hAnsi="宋体" w:eastAsia="仿宋_GB2312"/>
                <w:color w:val="000000"/>
                <w:sz w:val="18"/>
                <w:szCs w:val="18"/>
              </w:rPr>
            </w:pPr>
          </w:p>
        </w:tc>
        <w:tc>
          <w:tcPr>
            <w:tcW w:w="694" w:type="dxa"/>
            <w:vMerge w:val="continue"/>
            <w:noWrap w:val="0"/>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atLeast"/>
        </w:trPr>
        <w:tc>
          <w:tcPr>
            <w:tcW w:w="52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4</w:t>
            </w:r>
          </w:p>
        </w:tc>
        <w:tc>
          <w:tcPr>
            <w:tcW w:w="867"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计划实施</w:t>
            </w:r>
          </w:p>
        </w:tc>
        <w:tc>
          <w:tcPr>
            <w:tcW w:w="1215"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任务分配</w:t>
            </w:r>
          </w:p>
        </w:tc>
        <w:tc>
          <w:tcPr>
            <w:tcW w:w="190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及时公开农村危房改造补助农户名单</w:t>
            </w:r>
          </w:p>
        </w:tc>
        <w:tc>
          <w:tcPr>
            <w:tcW w:w="1735"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《住房城乡建设部 财政部 国务院扶贫办关于加强和完善建档立卡贫困户等重点对象农村危房改造若干问题的通知》等</w:t>
            </w:r>
          </w:p>
        </w:tc>
        <w:tc>
          <w:tcPr>
            <w:tcW w:w="1351"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分配结果确定后20个工作日内</w:t>
            </w:r>
          </w:p>
        </w:tc>
        <w:tc>
          <w:tcPr>
            <w:tcW w:w="1387"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住房和城乡建设等相关职能部门</w:t>
            </w:r>
          </w:p>
        </w:tc>
        <w:tc>
          <w:tcPr>
            <w:tcW w:w="1945"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693"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84" w:type="dxa"/>
            <w:noWrap w:val="0"/>
            <w:vAlign w:val="center"/>
          </w:tcPr>
          <w:p>
            <w:pPr>
              <w:jc w:val="center"/>
              <w:rPr>
                <w:rFonts w:hint="eastAsia" w:ascii="仿宋_GB2312" w:hAnsi="宋体" w:eastAsia="仿宋_GB2312"/>
                <w:color w:val="000000"/>
                <w:sz w:val="18"/>
                <w:szCs w:val="18"/>
              </w:rPr>
            </w:pPr>
          </w:p>
        </w:tc>
        <w:tc>
          <w:tcPr>
            <w:tcW w:w="53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93" w:type="dxa"/>
            <w:noWrap w:val="0"/>
            <w:vAlign w:val="center"/>
          </w:tcPr>
          <w:p>
            <w:pPr>
              <w:jc w:val="center"/>
              <w:rPr>
                <w:rFonts w:hint="eastAsia" w:ascii="仿宋_GB2312" w:hAnsi="宋体" w:eastAsia="仿宋_GB2312"/>
                <w:color w:val="000000"/>
                <w:sz w:val="18"/>
                <w:szCs w:val="18"/>
              </w:rPr>
            </w:pPr>
          </w:p>
        </w:tc>
        <w:tc>
          <w:tcPr>
            <w:tcW w:w="693" w:type="dxa"/>
            <w:noWrap w:val="0"/>
            <w:vAlign w:val="center"/>
          </w:tcPr>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tc>
        <w:tc>
          <w:tcPr>
            <w:tcW w:w="69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5" w:hRule="atLeast"/>
        </w:trPr>
        <w:tc>
          <w:tcPr>
            <w:tcW w:w="52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5</w:t>
            </w:r>
          </w:p>
        </w:tc>
        <w:tc>
          <w:tcPr>
            <w:tcW w:w="867" w:type="dxa"/>
            <w:vMerge w:val="continue"/>
            <w:noWrap w:val="0"/>
            <w:vAlign w:val="center"/>
          </w:tcPr>
          <w:p>
            <w:pPr>
              <w:jc w:val="center"/>
              <w:rPr>
                <w:rFonts w:hint="eastAsia" w:ascii="仿宋_GB2312" w:hAnsi="宋体" w:eastAsia="仿宋_GB2312"/>
                <w:color w:val="000000"/>
                <w:sz w:val="18"/>
                <w:szCs w:val="18"/>
              </w:rPr>
            </w:pPr>
          </w:p>
        </w:tc>
        <w:tc>
          <w:tcPr>
            <w:tcW w:w="1215"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组织培训</w:t>
            </w:r>
          </w:p>
        </w:tc>
        <w:tc>
          <w:tcPr>
            <w:tcW w:w="190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组织开展农村建筑工匠培训文件</w:t>
            </w:r>
          </w:p>
        </w:tc>
        <w:tc>
          <w:tcPr>
            <w:tcW w:w="1735" w:type="dxa"/>
            <w:vMerge w:val="continue"/>
            <w:noWrap w:val="0"/>
            <w:vAlign w:val="center"/>
          </w:tcPr>
          <w:p>
            <w:pPr>
              <w:widowControl/>
              <w:rPr>
                <w:rFonts w:hint="eastAsia" w:ascii="仿宋_GB2312" w:hAnsi="宋体" w:eastAsia="仿宋_GB2312"/>
                <w:color w:val="000000"/>
                <w:sz w:val="18"/>
                <w:szCs w:val="18"/>
              </w:rPr>
            </w:pPr>
          </w:p>
        </w:tc>
        <w:tc>
          <w:tcPr>
            <w:tcW w:w="1351"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387"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1945"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693"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84" w:type="dxa"/>
            <w:noWrap w:val="0"/>
            <w:vAlign w:val="center"/>
          </w:tcPr>
          <w:p>
            <w:pPr>
              <w:jc w:val="center"/>
              <w:rPr>
                <w:rFonts w:hint="eastAsia" w:ascii="仿宋_GB2312" w:hAnsi="宋体" w:eastAsia="仿宋_GB2312"/>
                <w:color w:val="000000"/>
                <w:sz w:val="18"/>
                <w:szCs w:val="18"/>
              </w:rPr>
            </w:pPr>
          </w:p>
        </w:tc>
        <w:tc>
          <w:tcPr>
            <w:tcW w:w="53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93" w:type="dxa"/>
            <w:noWrap w:val="0"/>
            <w:vAlign w:val="center"/>
          </w:tcPr>
          <w:p>
            <w:pPr>
              <w:jc w:val="center"/>
              <w:rPr>
                <w:rFonts w:hint="eastAsia" w:ascii="仿宋_GB2312" w:hAnsi="宋体" w:eastAsia="仿宋_GB2312"/>
                <w:color w:val="000000"/>
                <w:sz w:val="18"/>
                <w:szCs w:val="18"/>
              </w:rPr>
            </w:pPr>
          </w:p>
        </w:tc>
        <w:tc>
          <w:tcPr>
            <w:tcW w:w="693"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9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1" w:hRule="atLeast"/>
        </w:trPr>
        <w:tc>
          <w:tcPr>
            <w:tcW w:w="52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6</w:t>
            </w:r>
          </w:p>
        </w:tc>
        <w:tc>
          <w:tcPr>
            <w:tcW w:w="867"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条件与标准</w:t>
            </w:r>
          </w:p>
        </w:tc>
        <w:tc>
          <w:tcPr>
            <w:tcW w:w="1215"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农村危房等级评定标准</w:t>
            </w:r>
          </w:p>
        </w:tc>
        <w:tc>
          <w:tcPr>
            <w:tcW w:w="190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农村危房等级评定相关标准</w:t>
            </w:r>
          </w:p>
        </w:tc>
        <w:tc>
          <w:tcPr>
            <w:tcW w:w="1735"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《预算法》、《政府信息公开条例》、《住房城乡建设部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tc>
        <w:tc>
          <w:tcPr>
            <w:tcW w:w="1351"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387"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1945"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693"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84" w:type="dxa"/>
            <w:noWrap w:val="0"/>
            <w:vAlign w:val="center"/>
          </w:tcPr>
          <w:p>
            <w:pPr>
              <w:jc w:val="center"/>
              <w:rPr>
                <w:rFonts w:hint="eastAsia" w:ascii="仿宋_GB2312" w:hAnsi="宋体" w:eastAsia="仿宋_GB2312"/>
                <w:color w:val="000000"/>
                <w:sz w:val="18"/>
                <w:szCs w:val="18"/>
              </w:rPr>
            </w:pPr>
          </w:p>
        </w:tc>
        <w:tc>
          <w:tcPr>
            <w:tcW w:w="53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93" w:type="dxa"/>
            <w:noWrap w:val="0"/>
            <w:vAlign w:val="center"/>
          </w:tcPr>
          <w:p>
            <w:pPr>
              <w:jc w:val="center"/>
              <w:rPr>
                <w:rFonts w:hint="eastAsia" w:ascii="仿宋_GB2312" w:hAnsi="宋体" w:eastAsia="仿宋_GB2312"/>
                <w:color w:val="000000"/>
                <w:sz w:val="18"/>
                <w:szCs w:val="18"/>
              </w:rPr>
            </w:pPr>
          </w:p>
        </w:tc>
        <w:tc>
          <w:tcPr>
            <w:tcW w:w="693"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9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atLeast"/>
        </w:trPr>
        <w:tc>
          <w:tcPr>
            <w:tcW w:w="52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7</w:t>
            </w:r>
          </w:p>
        </w:tc>
        <w:tc>
          <w:tcPr>
            <w:tcW w:w="867" w:type="dxa"/>
            <w:vMerge w:val="continue"/>
            <w:noWrap w:val="0"/>
            <w:vAlign w:val="center"/>
          </w:tcPr>
          <w:p>
            <w:pPr>
              <w:jc w:val="center"/>
              <w:rPr>
                <w:rFonts w:hint="eastAsia" w:ascii="仿宋_GB2312" w:hAnsi="宋体" w:eastAsia="仿宋_GB2312"/>
                <w:color w:val="000000"/>
                <w:sz w:val="18"/>
                <w:szCs w:val="18"/>
              </w:rPr>
            </w:pPr>
          </w:p>
        </w:tc>
        <w:tc>
          <w:tcPr>
            <w:tcW w:w="1215"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农村危房改造对象申请条件</w:t>
            </w:r>
          </w:p>
        </w:tc>
        <w:tc>
          <w:tcPr>
            <w:tcW w:w="190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农村危房改造农户申请条件</w:t>
            </w:r>
          </w:p>
        </w:tc>
        <w:tc>
          <w:tcPr>
            <w:tcW w:w="1735"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351"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387"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住房和城乡建设等相关职能部门</w:t>
            </w:r>
          </w:p>
        </w:tc>
        <w:tc>
          <w:tcPr>
            <w:tcW w:w="1945"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693"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84" w:type="dxa"/>
            <w:noWrap w:val="0"/>
            <w:vAlign w:val="center"/>
          </w:tcPr>
          <w:p>
            <w:pPr>
              <w:jc w:val="center"/>
              <w:rPr>
                <w:rFonts w:hint="eastAsia" w:ascii="仿宋_GB2312" w:hAnsi="宋体" w:eastAsia="仿宋_GB2312"/>
                <w:color w:val="000000"/>
                <w:sz w:val="18"/>
                <w:szCs w:val="18"/>
              </w:rPr>
            </w:pPr>
          </w:p>
        </w:tc>
        <w:tc>
          <w:tcPr>
            <w:tcW w:w="53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93" w:type="dxa"/>
            <w:noWrap w:val="0"/>
            <w:vAlign w:val="center"/>
          </w:tcPr>
          <w:p>
            <w:pPr>
              <w:jc w:val="center"/>
              <w:rPr>
                <w:rFonts w:hint="eastAsia" w:ascii="仿宋_GB2312" w:hAnsi="宋体" w:eastAsia="仿宋_GB2312"/>
                <w:color w:val="000000"/>
                <w:sz w:val="18"/>
                <w:szCs w:val="18"/>
              </w:rPr>
            </w:pPr>
          </w:p>
        </w:tc>
        <w:tc>
          <w:tcPr>
            <w:tcW w:w="693"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9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atLeast"/>
        </w:trPr>
        <w:tc>
          <w:tcPr>
            <w:tcW w:w="52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8</w:t>
            </w:r>
          </w:p>
        </w:tc>
        <w:tc>
          <w:tcPr>
            <w:tcW w:w="867"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条件与标准</w:t>
            </w:r>
          </w:p>
        </w:tc>
        <w:tc>
          <w:tcPr>
            <w:tcW w:w="1215"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90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735"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351"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387"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住房和城乡建设部门、财政等部门</w:t>
            </w:r>
          </w:p>
        </w:tc>
        <w:tc>
          <w:tcPr>
            <w:tcW w:w="1945"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693"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84" w:type="dxa"/>
            <w:noWrap w:val="0"/>
            <w:vAlign w:val="center"/>
          </w:tcPr>
          <w:p>
            <w:pPr>
              <w:jc w:val="center"/>
              <w:rPr>
                <w:rFonts w:hint="eastAsia" w:ascii="仿宋_GB2312" w:hAnsi="宋体" w:eastAsia="仿宋_GB2312"/>
                <w:color w:val="000000"/>
                <w:sz w:val="18"/>
                <w:szCs w:val="18"/>
              </w:rPr>
            </w:pPr>
          </w:p>
        </w:tc>
        <w:tc>
          <w:tcPr>
            <w:tcW w:w="53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93" w:type="dxa"/>
            <w:noWrap w:val="0"/>
            <w:vAlign w:val="center"/>
          </w:tcPr>
          <w:p>
            <w:pPr>
              <w:jc w:val="center"/>
              <w:rPr>
                <w:rFonts w:hint="eastAsia" w:ascii="仿宋_GB2312" w:hAnsi="宋体" w:eastAsia="仿宋_GB2312"/>
                <w:color w:val="000000"/>
                <w:sz w:val="18"/>
                <w:szCs w:val="18"/>
              </w:rPr>
            </w:pPr>
          </w:p>
        </w:tc>
        <w:tc>
          <w:tcPr>
            <w:tcW w:w="693"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9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atLeast"/>
        </w:trPr>
        <w:tc>
          <w:tcPr>
            <w:tcW w:w="52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9</w:t>
            </w:r>
          </w:p>
        </w:tc>
        <w:tc>
          <w:tcPr>
            <w:tcW w:w="867" w:type="dxa"/>
            <w:vMerge w:val="continue"/>
            <w:noWrap w:val="0"/>
            <w:vAlign w:val="center"/>
          </w:tcPr>
          <w:p>
            <w:pPr>
              <w:jc w:val="center"/>
              <w:rPr>
                <w:rFonts w:hint="eastAsia" w:ascii="仿宋_GB2312" w:hAnsi="宋体" w:eastAsia="仿宋_GB2312"/>
                <w:color w:val="000000"/>
                <w:sz w:val="18"/>
                <w:szCs w:val="18"/>
              </w:rPr>
            </w:pPr>
          </w:p>
        </w:tc>
        <w:tc>
          <w:tcPr>
            <w:tcW w:w="1215"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农村危房改造竣工合格标准</w:t>
            </w:r>
          </w:p>
        </w:tc>
        <w:tc>
          <w:tcPr>
            <w:tcW w:w="190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农村危房改造竣工验收要求</w:t>
            </w:r>
          </w:p>
        </w:tc>
        <w:tc>
          <w:tcPr>
            <w:tcW w:w="1735"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351"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387"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1945"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693"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84" w:type="dxa"/>
            <w:noWrap w:val="0"/>
            <w:vAlign w:val="center"/>
          </w:tcPr>
          <w:p>
            <w:pPr>
              <w:jc w:val="center"/>
              <w:rPr>
                <w:rFonts w:hint="eastAsia" w:ascii="仿宋_GB2312" w:hAnsi="宋体" w:eastAsia="仿宋_GB2312"/>
                <w:color w:val="000000"/>
                <w:sz w:val="18"/>
                <w:szCs w:val="18"/>
              </w:rPr>
            </w:pPr>
          </w:p>
        </w:tc>
        <w:tc>
          <w:tcPr>
            <w:tcW w:w="53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93" w:type="dxa"/>
            <w:noWrap w:val="0"/>
            <w:vAlign w:val="center"/>
          </w:tcPr>
          <w:p>
            <w:pPr>
              <w:jc w:val="center"/>
              <w:rPr>
                <w:rFonts w:hint="eastAsia" w:ascii="仿宋_GB2312" w:hAnsi="宋体" w:eastAsia="仿宋_GB2312"/>
                <w:color w:val="000000"/>
                <w:sz w:val="18"/>
                <w:szCs w:val="18"/>
              </w:rPr>
            </w:pPr>
          </w:p>
        </w:tc>
        <w:tc>
          <w:tcPr>
            <w:tcW w:w="693"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9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atLeast"/>
        </w:trPr>
        <w:tc>
          <w:tcPr>
            <w:tcW w:w="520" w:type="dxa"/>
            <w:noWrap w:val="0"/>
            <w:vAlign w:val="center"/>
          </w:tcPr>
          <w:p>
            <w:pPr>
              <w:widowControl/>
              <w:jc w:val="center"/>
              <w:rPr>
                <w:rFonts w:hint="eastAsia" w:ascii="Times New Roman" w:hAnsi="Times New Roman" w:eastAsia="宋体"/>
                <w:color w:val="000000"/>
                <w:kern w:val="0"/>
                <w:sz w:val="16"/>
                <w:szCs w:val="16"/>
                <w:lang w:eastAsia="zh-CN"/>
              </w:rPr>
            </w:pPr>
            <w:r>
              <w:rPr>
                <w:rFonts w:hint="eastAsia" w:ascii="Times New Roman" w:hAnsi="Times New Roman"/>
                <w:color w:val="000000"/>
                <w:kern w:val="0"/>
                <w:sz w:val="16"/>
                <w:szCs w:val="16"/>
              </w:rPr>
              <w:t>1</w:t>
            </w:r>
            <w:r>
              <w:rPr>
                <w:rFonts w:hint="eastAsia" w:ascii="Times New Roman" w:hAnsi="Times New Roman"/>
                <w:color w:val="000000"/>
                <w:kern w:val="0"/>
                <w:sz w:val="16"/>
                <w:szCs w:val="16"/>
                <w:lang w:val="en-US" w:eastAsia="zh-CN"/>
              </w:rPr>
              <w:t>0</w:t>
            </w:r>
          </w:p>
        </w:tc>
        <w:tc>
          <w:tcPr>
            <w:tcW w:w="867"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决策部署</w:t>
            </w:r>
          </w:p>
        </w:tc>
        <w:tc>
          <w:tcPr>
            <w:tcW w:w="1215"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决策部署落实情况</w:t>
            </w:r>
          </w:p>
        </w:tc>
        <w:tc>
          <w:tcPr>
            <w:tcW w:w="190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决策部署落实情况等</w:t>
            </w:r>
          </w:p>
        </w:tc>
        <w:tc>
          <w:tcPr>
            <w:tcW w:w="1735"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《关于全面推进政务公开工作的意见》及其实施细则</w:t>
            </w:r>
          </w:p>
        </w:tc>
        <w:tc>
          <w:tcPr>
            <w:tcW w:w="1351"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387"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1945"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693"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84" w:type="dxa"/>
            <w:noWrap w:val="0"/>
            <w:vAlign w:val="center"/>
          </w:tcPr>
          <w:p>
            <w:pPr>
              <w:jc w:val="center"/>
              <w:rPr>
                <w:rFonts w:hint="eastAsia" w:ascii="仿宋_GB2312" w:hAnsi="宋体" w:eastAsia="仿宋_GB2312"/>
                <w:color w:val="000000"/>
                <w:sz w:val="18"/>
                <w:szCs w:val="18"/>
              </w:rPr>
            </w:pPr>
          </w:p>
        </w:tc>
        <w:tc>
          <w:tcPr>
            <w:tcW w:w="53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93" w:type="dxa"/>
            <w:noWrap w:val="0"/>
            <w:vAlign w:val="center"/>
          </w:tcPr>
          <w:p>
            <w:pPr>
              <w:jc w:val="center"/>
              <w:rPr>
                <w:rFonts w:hint="eastAsia" w:ascii="仿宋_GB2312" w:hAnsi="宋体" w:eastAsia="仿宋_GB2312"/>
                <w:color w:val="000000"/>
                <w:sz w:val="18"/>
                <w:szCs w:val="18"/>
              </w:rPr>
            </w:pPr>
          </w:p>
        </w:tc>
        <w:tc>
          <w:tcPr>
            <w:tcW w:w="693"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9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atLeast"/>
        </w:trPr>
        <w:tc>
          <w:tcPr>
            <w:tcW w:w="520" w:type="dxa"/>
            <w:noWrap w:val="0"/>
            <w:vAlign w:val="center"/>
          </w:tcPr>
          <w:p>
            <w:pPr>
              <w:widowControl/>
              <w:jc w:val="center"/>
              <w:rPr>
                <w:rFonts w:hint="eastAsia" w:ascii="Times New Roman" w:hAnsi="Times New Roman" w:eastAsia="宋体"/>
                <w:color w:val="000000"/>
                <w:kern w:val="0"/>
                <w:sz w:val="16"/>
                <w:szCs w:val="16"/>
                <w:lang w:eastAsia="zh-CN"/>
              </w:rPr>
            </w:pPr>
            <w:r>
              <w:rPr>
                <w:rFonts w:hint="eastAsia" w:ascii="Times New Roman" w:hAnsi="Times New Roman"/>
                <w:color w:val="000000"/>
                <w:kern w:val="0"/>
                <w:sz w:val="16"/>
                <w:szCs w:val="16"/>
              </w:rPr>
              <w:t>1</w:t>
            </w:r>
            <w:r>
              <w:rPr>
                <w:rFonts w:hint="eastAsia" w:ascii="Times New Roman" w:hAnsi="Times New Roman"/>
                <w:color w:val="000000"/>
                <w:kern w:val="0"/>
                <w:sz w:val="16"/>
                <w:szCs w:val="16"/>
                <w:lang w:val="en-US" w:eastAsia="zh-CN"/>
              </w:rPr>
              <w:t>1</w:t>
            </w:r>
          </w:p>
        </w:tc>
        <w:tc>
          <w:tcPr>
            <w:tcW w:w="867"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年度任务实施</w:t>
            </w:r>
          </w:p>
        </w:tc>
        <w:tc>
          <w:tcPr>
            <w:tcW w:w="1215"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年度任务执行情况</w:t>
            </w:r>
          </w:p>
        </w:tc>
        <w:tc>
          <w:tcPr>
            <w:tcW w:w="190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年度工作完成情况等</w:t>
            </w:r>
          </w:p>
        </w:tc>
        <w:tc>
          <w:tcPr>
            <w:tcW w:w="1735" w:type="dxa"/>
            <w:vMerge w:val="continue"/>
            <w:noWrap w:val="0"/>
            <w:vAlign w:val="center"/>
          </w:tcPr>
          <w:p>
            <w:pPr>
              <w:rPr>
                <w:rFonts w:hint="eastAsia" w:ascii="仿宋_GB2312" w:hAnsi="宋体" w:eastAsia="仿宋_GB2312"/>
                <w:color w:val="000000"/>
                <w:sz w:val="18"/>
                <w:szCs w:val="18"/>
              </w:rPr>
            </w:pPr>
          </w:p>
        </w:tc>
        <w:tc>
          <w:tcPr>
            <w:tcW w:w="1351"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387"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1945"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693"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84" w:type="dxa"/>
            <w:noWrap w:val="0"/>
            <w:vAlign w:val="center"/>
          </w:tcPr>
          <w:p>
            <w:pPr>
              <w:jc w:val="center"/>
              <w:rPr>
                <w:rFonts w:hint="eastAsia" w:ascii="仿宋_GB2312" w:hAnsi="宋体" w:eastAsia="仿宋_GB2312"/>
                <w:color w:val="000000"/>
                <w:sz w:val="18"/>
                <w:szCs w:val="18"/>
              </w:rPr>
            </w:pPr>
          </w:p>
        </w:tc>
        <w:tc>
          <w:tcPr>
            <w:tcW w:w="53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93" w:type="dxa"/>
            <w:noWrap w:val="0"/>
            <w:vAlign w:val="center"/>
          </w:tcPr>
          <w:p>
            <w:pPr>
              <w:jc w:val="center"/>
              <w:rPr>
                <w:rFonts w:hint="eastAsia" w:ascii="仿宋_GB2312" w:hAnsi="宋体" w:eastAsia="仿宋_GB2312"/>
                <w:color w:val="000000"/>
                <w:sz w:val="18"/>
                <w:szCs w:val="18"/>
              </w:rPr>
            </w:pPr>
          </w:p>
        </w:tc>
        <w:tc>
          <w:tcPr>
            <w:tcW w:w="693"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9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9" w:hRule="atLeast"/>
        </w:trPr>
        <w:tc>
          <w:tcPr>
            <w:tcW w:w="520" w:type="dxa"/>
            <w:noWrap w:val="0"/>
            <w:vAlign w:val="center"/>
          </w:tcPr>
          <w:p>
            <w:pPr>
              <w:widowControl/>
              <w:jc w:val="center"/>
              <w:rPr>
                <w:rFonts w:hint="eastAsia" w:ascii="Times New Roman" w:hAnsi="Times New Roman" w:eastAsia="宋体"/>
                <w:color w:val="000000"/>
                <w:kern w:val="0"/>
                <w:sz w:val="16"/>
                <w:szCs w:val="16"/>
                <w:lang w:eastAsia="zh-CN"/>
              </w:rPr>
            </w:pPr>
            <w:r>
              <w:rPr>
                <w:rFonts w:hint="eastAsia" w:ascii="Times New Roman" w:hAnsi="Times New Roman"/>
                <w:color w:val="000000"/>
                <w:kern w:val="0"/>
                <w:sz w:val="16"/>
                <w:szCs w:val="16"/>
              </w:rPr>
              <w:t>1</w:t>
            </w:r>
            <w:r>
              <w:rPr>
                <w:rFonts w:hint="eastAsia" w:ascii="Times New Roman" w:hAnsi="Times New Roman"/>
                <w:color w:val="000000"/>
                <w:kern w:val="0"/>
                <w:sz w:val="16"/>
                <w:szCs w:val="16"/>
                <w:lang w:val="en-US" w:eastAsia="zh-CN"/>
              </w:rPr>
              <w:t>2</w:t>
            </w:r>
          </w:p>
        </w:tc>
        <w:tc>
          <w:tcPr>
            <w:tcW w:w="867"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舆情收集、热点及关键问题回应</w:t>
            </w:r>
          </w:p>
        </w:tc>
        <w:tc>
          <w:tcPr>
            <w:tcW w:w="1215"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舆情收集回应</w:t>
            </w:r>
          </w:p>
        </w:tc>
        <w:tc>
          <w:tcPr>
            <w:tcW w:w="190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接受投诉、咨询、建议等联系电话、通信地址等</w:t>
            </w:r>
          </w:p>
        </w:tc>
        <w:tc>
          <w:tcPr>
            <w:tcW w:w="1735"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《政府信息公开条例》、《关于全面推进政务公开工作的意见》及其实施细则</w:t>
            </w:r>
          </w:p>
        </w:tc>
        <w:tc>
          <w:tcPr>
            <w:tcW w:w="1351" w:type="dxa"/>
            <w:noWrap w:val="0"/>
            <w:vAlign w:val="center"/>
          </w:tcPr>
          <w:p>
            <w:pPr>
              <w:ind w:right="-304" w:rightChars="-145"/>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w:t>
            </w:r>
          </w:p>
          <w:p>
            <w:pPr>
              <w:ind w:right="-304" w:rightChars="-145"/>
              <w:rPr>
                <w:rFonts w:hint="eastAsia" w:ascii="仿宋_GB2312" w:hAnsi="宋体" w:eastAsia="仿宋_GB2312"/>
                <w:color w:val="000000"/>
                <w:sz w:val="18"/>
                <w:szCs w:val="18"/>
              </w:rPr>
            </w:pPr>
            <w:r>
              <w:rPr>
                <w:rFonts w:hint="eastAsia" w:ascii="仿宋_GB2312" w:hAnsi="宋体" w:eastAsia="仿宋_GB2312"/>
                <w:color w:val="000000"/>
                <w:sz w:val="18"/>
                <w:szCs w:val="18"/>
              </w:rPr>
              <w:t>起20个工作日</w:t>
            </w:r>
          </w:p>
          <w:p>
            <w:pPr>
              <w:ind w:right="-304" w:rightChars="-145"/>
              <w:rPr>
                <w:rFonts w:hint="eastAsia" w:ascii="仿宋_GB2312" w:hAnsi="宋体" w:eastAsia="仿宋_GB2312"/>
                <w:color w:val="000000"/>
                <w:sz w:val="18"/>
                <w:szCs w:val="18"/>
              </w:rPr>
            </w:pPr>
            <w:r>
              <w:rPr>
                <w:rFonts w:hint="eastAsia" w:ascii="仿宋_GB2312" w:hAnsi="宋体" w:eastAsia="仿宋_GB2312"/>
                <w:color w:val="000000"/>
                <w:sz w:val="18"/>
                <w:szCs w:val="18"/>
              </w:rPr>
              <w:t>内</w:t>
            </w:r>
          </w:p>
        </w:tc>
        <w:tc>
          <w:tcPr>
            <w:tcW w:w="1387"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省、市、县级住房和城乡建设等相关职能部门</w:t>
            </w:r>
          </w:p>
        </w:tc>
        <w:tc>
          <w:tcPr>
            <w:tcW w:w="1945"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693"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84" w:type="dxa"/>
            <w:noWrap w:val="0"/>
            <w:vAlign w:val="center"/>
          </w:tcPr>
          <w:p>
            <w:pPr>
              <w:jc w:val="center"/>
              <w:rPr>
                <w:rFonts w:hint="eastAsia" w:ascii="仿宋_GB2312" w:hAnsi="宋体" w:eastAsia="仿宋_GB2312"/>
                <w:color w:val="000000"/>
                <w:sz w:val="18"/>
                <w:szCs w:val="18"/>
              </w:rPr>
            </w:pPr>
          </w:p>
        </w:tc>
        <w:tc>
          <w:tcPr>
            <w:tcW w:w="53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93" w:type="dxa"/>
            <w:noWrap w:val="0"/>
            <w:vAlign w:val="center"/>
          </w:tcPr>
          <w:p>
            <w:pPr>
              <w:jc w:val="center"/>
              <w:rPr>
                <w:rFonts w:hint="eastAsia" w:ascii="仿宋_GB2312" w:hAnsi="宋体" w:eastAsia="仿宋_GB2312"/>
                <w:color w:val="000000"/>
                <w:sz w:val="18"/>
                <w:szCs w:val="18"/>
              </w:rPr>
            </w:pPr>
          </w:p>
        </w:tc>
        <w:tc>
          <w:tcPr>
            <w:tcW w:w="693"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9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6" w:hRule="atLeast"/>
        </w:trPr>
        <w:tc>
          <w:tcPr>
            <w:tcW w:w="520" w:type="dxa"/>
            <w:noWrap w:val="0"/>
            <w:vAlign w:val="center"/>
          </w:tcPr>
          <w:p>
            <w:pPr>
              <w:widowControl/>
              <w:jc w:val="center"/>
              <w:rPr>
                <w:rFonts w:hint="eastAsia" w:ascii="Times New Roman" w:hAnsi="Times New Roman" w:eastAsia="宋体"/>
                <w:color w:val="000000"/>
                <w:kern w:val="0"/>
                <w:sz w:val="16"/>
                <w:szCs w:val="16"/>
                <w:lang w:eastAsia="zh-CN"/>
              </w:rPr>
            </w:pPr>
            <w:r>
              <w:rPr>
                <w:rFonts w:hint="eastAsia" w:ascii="Times New Roman" w:hAnsi="Times New Roman"/>
                <w:color w:val="000000"/>
                <w:kern w:val="0"/>
                <w:sz w:val="16"/>
                <w:szCs w:val="16"/>
              </w:rPr>
              <w:t>1</w:t>
            </w:r>
            <w:r>
              <w:rPr>
                <w:rFonts w:hint="eastAsia" w:ascii="Times New Roman" w:hAnsi="Times New Roman"/>
                <w:color w:val="000000"/>
                <w:kern w:val="0"/>
                <w:sz w:val="16"/>
                <w:szCs w:val="16"/>
                <w:lang w:val="en-US" w:eastAsia="zh-CN"/>
              </w:rPr>
              <w:t>3</w:t>
            </w:r>
          </w:p>
        </w:tc>
        <w:tc>
          <w:tcPr>
            <w:tcW w:w="867" w:type="dxa"/>
            <w:vMerge w:val="continue"/>
            <w:noWrap w:val="0"/>
            <w:vAlign w:val="center"/>
          </w:tcPr>
          <w:p>
            <w:pPr>
              <w:jc w:val="center"/>
              <w:rPr>
                <w:rFonts w:hint="eastAsia" w:ascii="仿宋_GB2312" w:hAnsi="宋体" w:eastAsia="仿宋_GB2312"/>
                <w:color w:val="000000"/>
                <w:sz w:val="18"/>
                <w:szCs w:val="18"/>
              </w:rPr>
            </w:pPr>
          </w:p>
        </w:tc>
        <w:tc>
          <w:tcPr>
            <w:tcW w:w="1215"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190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涉及群众切身利益和舆论关注的焦点、热点及关键问题等回应内容</w:t>
            </w:r>
          </w:p>
        </w:tc>
        <w:tc>
          <w:tcPr>
            <w:tcW w:w="1735" w:type="dxa"/>
            <w:vMerge w:val="continue"/>
            <w:noWrap w:val="0"/>
            <w:vAlign w:val="center"/>
          </w:tcPr>
          <w:p>
            <w:pPr>
              <w:rPr>
                <w:rFonts w:hint="eastAsia" w:ascii="仿宋_GB2312" w:hAnsi="宋体" w:eastAsia="仿宋_GB2312"/>
                <w:color w:val="000000"/>
                <w:sz w:val="18"/>
                <w:szCs w:val="18"/>
              </w:rPr>
            </w:pPr>
          </w:p>
        </w:tc>
        <w:tc>
          <w:tcPr>
            <w:tcW w:w="1351"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及时发布信息；对涉及重大舆情的，要快速反应，并根据工作进展情况，持续发布信息。</w:t>
            </w:r>
          </w:p>
        </w:tc>
        <w:tc>
          <w:tcPr>
            <w:tcW w:w="1387"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辖区政府、县级住房和城乡建设等相关职能部门</w:t>
            </w:r>
          </w:p>
        </w:tc>
        <w:tc>
          <w:tcPr>
            <w:tcW w:w="1945"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693"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84" w:type="dxa"/>
            <w:noWrap w:val="0"/>
            <w:vAlign w:val="center"/>
          </w:tcPr>
          <w:p>
            <w:pPr>
              <w:jc w:val="center"/>
              <w:rPr>
                <w:rFonts w:hint="eastAsia" w:ascii="仿宋_GB2312" w:hAnsi="宋体" w:eastAsia="仿宋_GB2312"/>
                <w:color w:val="000000"/>
                <w:sz w:val="18"/>
                <w:szCs w:val="18"/>
              </w:rPr>
            </w:pPr>
          </w:p>
        </w:tc>
        <w:tc>
          <w:tcPr>
            <w:tcW w:w="53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693" w:type="dxa"/>
            <w:noWrap w:val="0"/>
            <w:vAlign w:val="center"/>
          </w:tcPr>
          <w:p>
            <w:pPr>
              <w:jc w:val="center"/>
              <w:rPr>
                <w:rFonts w:hint="eastAsia" w:ascii="仿宋_GB2312" w:hAnsi="宋体" w:eastAsia="仿宋_GB2312"/>
                <w:color w:val="000000"/>
                <w:sz w:val="18"/>
                <w:szCs w:val="18"/>
              </w:rPr>
            </w:pPr>
          </w:p>
        </w:tc>
        <w:tc>
          <w:tcPr>
            <w:tcW w:w="693" w:type="dxa"/>
            <w:noWrap w:val="0"/>
            <w:vAlign w:val="center"/>
          </w:tcPr>
          <w:p>
            <w:pPr>
              <w:jc w:val="center"/>
              <w:rPr>
                <w:rFonts w:hint="eastAsia" w:ascii="仿宋_GB2312" w:hAnsi="宋体" w:eastAsia="仿宋_GB2312"/>
                <w:color w:val="000000"/>
                <w:sz w:val="18"/>
                <w:szCs w:val="18"/>
              </w:rPr>
            </w:pPr>
          </w:p>
        </w:tc>
        <w:tc>
          <w:tcPr>
            <w:tcW w:w="69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1B03DD"/>
    <w:rsid w:val="7A760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2020-09-07T08:10:00Z</dcterms:created>
  <dc:creator>adsl</dc:creator>
  <cp:lastModifiedBy>Administrator</cp:lastModifiedBy>
  <dcterms:modified xsi:type="dcterms:W3CDTF">2020-12-21T06:07:44Z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