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shd w:val="clear" w:color="auto" w:fill="auto"/>
        <w:tblLayout w:type="autofit"/>
        <w:tblCellMar>
          <w:top w:w="0" w:type="dxa"/>
          <w:left w:w="0" w:type="dxa"/>
          <w:bottom w:w="0" w:type="dxa"/>
          <w:right w:w="0" w:type="dxa"/>
        </w:tblCellMar>
      </w:tblPr>
      <w:tblGrid>
        <w:gridCol w:w="290"/>
        <w:gridCol w:w="1332"/>
        <w:gridCol w:w="3366"/>
        <w:gridCol w:w="705"/>
        <w:gridCol w:w="1410"/>
        <w:gridCol w:w="543"/>
        <w:gridCol w:w="915"/>
        <w:gridCol w:w="3352"/>
        <w:gridCol w:w="369"/>
        <w:gridCol w:w="450"/>
        <w:gridCol w:w="291"/>
        <w:gridCol w:w="369"/>
        <w:gridCol w:w="291"/>
        <w:gridCol w:w="305"/>
      </w:tblGrid>
      <w:tr>
        <w:tblPrEx>
          <w:shd w:val="clear" w:color="auto" w:fill="auto"/>
          <w:tblCellMar>
            <w:top w:w="0" w:type="dxa"/>
            <w:left w:w="0" w:type="dxa"/>
            <w:bottom w:w="0" w:type="dxa"/>
            <w:right w:w="0" w:type="dxa"/>
          </w:tblCellMar>
        </w:tblPrEx>
        <w:trPr>
          <w:trHeight w:val="600" w:hRule="atLeast"/>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bookmarkStart w:id="0" w:name="_GoBack"/>
            <w:bookmarkEnd w:id="0"/>
            <w:r>
              <w:rPr>
                <w:rFonts w:hint="eastAsia" w:ascii="黑体" w:hAnsi="宋体" w:eastAsia="黑体" w:cs="黑体"/>
                <w:i w:val="0"/>
                <w:color w:val="000000"/>
                <w:kern w:val="0"/>
                <w:sz w:val="28"/>
                <w:szCs w:val="28"/>
                <w:u w:val="none"/>
                <w:lang w:val="en-US" w:eastAsia="zh-CN" w:bidi="ar"/>
              </w:rPr>
              <w:t>市政服务领域基层政务公开标准目录</w:t>
            </w:r>
          </w:p>
        </w:tc>
      </w:tr>
      <w:tr>
        <w:tblPrEx>
          <w:tblCellMar>
            <w:top w:w="0" w:type="dxa"/>
            <w:left w:w="0" w:type="dxa"/>
            <w:bottom w:w="0" w:type="dxa"/>
            <w:right w:w="0" w:type="dxa"/>
          </w:tblCellMar>
        </w:tblPrEx>
        <w:trPr>
          <w:trHeight w:val="600" w:hRule="atLeast"/>
        </w:trPr>
        <w:tc>
          <w:tcPr>
            <w:tcW w:w="1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1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                      （“■”表示必选项，“□”表示可选项）</w:t>
            </w:r>
          </w:p>
        </w:tc>
        <w:tc>
          <w:tcPr>
            <w:tcW w:w="29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2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60" w:hRule="atLeast"/>
        </w:trPr>
        <w:tc>
          <w:tcPr>
            <w:tcW w:w="1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市政设施建设类审批</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因特殊情况需要临时占用城市道路的行政许可</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市政设施建设类审批</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因工程建设需要挖掘城市道路的行政许可</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市政设施建设类审批</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申请埋设在城市道路下的管线发生故障需要紧急抢修挖掘道路的行政许可</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市政设施建设类审批</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需要临时挖掘或占用道路的行政许可</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市政设施建设类审批</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因紧急抢修自来水、燃气、供热、通信、电力等设施须挖掘道路的行政许可</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城市园林绿化管理</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临时占用城市绿化用地的行政许可 </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《城市绿化条例》</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市政设施建设类审批</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依附城市道路桥梁的各种管线、干线设施的审批</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市政设施建设类审批</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占用城市道路作为临时停车场、存车处或自建向社会开放的公共停车场、存车处的行政许可</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市政设施建设类审批</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履带车、超限车或装载易燃、易爆物的车辆须通过桥涵的行政许可</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《吉林省市政公用设施管理条例》</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城市园林绿化管理</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修剪、砍伐城市树木审批</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0" w:hRule="atLeast"/>
        </w:trPr>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城市供水、城镇排水与污水处理</w:t>
            </w:r>
          </w:p>
        </w:tc>
        <w:tc>
          <w:tcPr>
            <w:tcW w:w="1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w:t>
            </w:r>
          </w:p>
        </w:tc>
        <w:tc>
          <w:tcPr>
            <w:tcW w:w="2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《城市排水许可管理办法》</w:t>
            </w:r>
          </w:p>
        </w:tc>
        <w:tc>
          <w:tcPr>
            <w:tcW w:w="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B01DF"/>
    <w:rsid w:val="0C9E6CB5"/>
    <w:rsid w:val="43D6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2020-09-07T08:13:00Z</dcterms:created>
  <dc:creator>adsl</dc:creator>
  <cp:lastModifiedBy>Administrator</cp:lastModifiedBy>
  <dcterms:modified xsi:type="dcterms:W3CDTF">2020-12-21T06:08:01Z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