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385" w:type="dxa"/>
        <w:tblInd w:w="0" w:type="dxa"/>
        <w:shd w:val="clear"/>
        <w:tblLayout w:type="autofit"/>
        <w:tblCellMar>
          <w:top w:w="0" w:type="dxa"/>
          <w:left w:w="0" w:type="dxa"/>
          <w:bottom w:w="0" w:type="dxa"/>
          <w:right w:w="0" w:type="dxa"/>
        </w:tblCellMar>
      </w:tblPr>
      <w:tblGrid>
        <w:gridCol w:w="525"/>
        <w:gridCol w:w="718"/>
        <w:gridCol w:w="705"/>
        <w:gridCol w:w="1560"/>
        <w:gridCol w:w="2381"/>
        <w:gridCol w:w="840"/>
        <w:gridCol w:w="840"/>
        <w:gridCol w:w="3300"/>
        <w:gridCol w:w="587"/>
        <w:gridCol w:w="587"/>
        <w:gridCol w:w="587"/>
        <w:gridCol w:w="587"/>
        <w:gridCol w:w="587"/>
        <w:gridCol w:w="587"/>
      </w:tblGrid>
      <w:tr>
        <w:tblPrEx>
          <w:tblCellMar>
            <w:top w:w="0" w:type="dxa"/>
            <w:left w:w="0" w:type="dxa"/>
            <w:bottom w:w="0" w:type="dxa"/>
            <w:right w:w="0" w:type="dxa"/>
          </w:tblCellMar>
        </w:tblPrEx>
        <w:trPr>
          <w:trHeight w:val="660" w:hRule="atLeast"/>
        </w:trPr>
        <w:tc>
          <w:tcPr>
            <w:tcW w:w="14391" w:type="dxa"/>
            <w:gridSpan w:val="1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bdr w:val="none" w:color="auto" w:sz="0" w:space="0"/>
                <w:lang w:val="en-US" w:eastAsia="zh-CN" w:bidi="ar"/>
              </w:rPr>
              <w:t>社会保险基层政务公开标准目录</w:t>
            </w:r>
          </w:p>
        </w:tc>
      </w:tr>
      <w:tr>
        <w:tblPrEx>
          <w:shd w:val="clear"/>
          <w:tblCellMar>
            <w:top w:w="0" w:type="dxa"/>
            <w:left w:w="0" w:type="dxa"/>
            <w:bottom w:w="0" w:type="dxa"/>
            <w:right w:w="0" w:type="dxa"/>
          </w:tblCellMar>
        </w:tblPrEx>
        <w:trPr>
          <w:trHeight w:val="42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序号</w:t>
            </w:r>
          </w:p>
        </w:tc>
        <w:tc>
          <w:tcPr>
            <w:tcW w:w="142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w:t>
            </w:r>
          </w:p>
        </w:tc>
        <w:tc>
          <w:tcPr>
            <w:tcW w:w="15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公开内容（要素）</w:t>
            </w:r>
          </w:p>
        </w:tc>
        <w:tc>
          <w:tcPr>
            <w:tcW w:w="238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公开主体</w:t>
            </w:r>
          </w:p>
        </w:tc>
        <w:tc>
          <w:tcPr>
            <w:tcW w:w="33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公开渠道和载体</w:t>
            </w:r>
          </w:p>
        </w:tc>
        <w:tc>
          <w:tcPr>
            <w:tcW w:w="117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公开对象</w:t>
            </w:r>
          </w:p>
        </w:tc>
        <w:tc>
          <w:tcPr>
            <w:tcW w:w="117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公开方式</w:t>
            </w:r>
          </w:p>
        </w:tc>
        <w:tc>
          <w:tcPr>
            <w:tcW w:w="117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42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一级事项</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二级事项</w:t>
            </w:r>
          </w:p>
        </w:tc>
        <w:tc>
          <w:tcPr>
            <w:tcW w:w="15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38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全社会</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特定群体</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主动</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依申请</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县级</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乡级</w:t>
            </w:r>
          </w:p>
        </w:tc>
      </w:tr>
      <w:tr>
        <w:tblPrEx>
          <w:shd w:val="clear"/>
          <w:tblCellMar>
            <w:top w:w="0" w:type="dxa"/>
            <w:left w:w="0" w:type="dxa"/>
            <w:bottom w:w="0" w:type="dxa"/>
            <w:right w:w="0"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1.1机关事业单位社会保险登记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3.《国务院关于机关事业单位工作人员养老保险制度改革 的决定》（国发</w:t>
            </w:r>
            <w:r>
              <w:rPr>
                <w:rStyle w:val="4"/>
                <w:rFonts w:hAnsi="宋体"/>
                <w:bdr w:val="none" w:color="auto" w:sz="0" w:space="0"/>
                <w:lang w:val="en-US" w:eastAsia="zh-CN" w:bidi="ar"/>
              </w:rPr>
              <w:t>〔</w:t>
            </w:r>
            <w:r>
              <w:rPr>
                <w:rStyle w:val="5"/>
                <w:bdr w:val="none" w:color="auto" w:sz="0" w:space="0"/>
                <w:lang w:val="en-US" w:eastAsia="zh-CN" w:bidi="ar"/>
              </w:rPr>
              <w:t>2015</w:t>
            </w:r>
            <w:r>
              <w:rPr>
                <w:rStyle w:val="4"/>
                <w:rFonts w:hAnsi="宋体"/>
                <w:bdr w:val="none" w:color="auto" w:sz="0" w:space="0"/>
                <w:lang w:val="en-US" w:eastAsia="zh-CN" w:bidi="ar"/>
              </w:rPr>
              <w:t>〕</w:t>
            </w:r>
            <w:r>
              <w:rPr>
                <w:rStyle w:val="5"/>
                <w:bdr w:val="none" w:color="auto" w:sz="0" w:space="0"/>
                <w:lang w:val="en-US" w:eastAsia="zh-CN" w:bidi="ar"/>
              </w:rPr>
              <w:t>2号）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1.2工程建设项目办理工伤保险参保登记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1.3参保单位注销</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1.4职工参保登记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1.社会保险登记</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1.5城乡居民养老保险登记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2.1单位（项目）基本信息变更</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2.2个人基本信息变更</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2.3养老保险待遇发放账户维护申请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9</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2.4工伤保险待遇发放账户维护申请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2.社会保险参保信息维护</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2.5失业保险待遇发放账户维护申请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3.1缴费人员增减申报</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3.2社会保险缴费申报与变更</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3.3谁保险缴费延缴申请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14</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3.社会保险缴费申报</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3.4社会保险费欠费补缴申请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15</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4.社会保险参保缴费记录查询</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4.1单位参保证明查询打印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16</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4.社会保险参保缴费记录查询</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4.2个人权益记录查询打印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3.《社会保险费征缴暂行条例》（中华人民共和国国务院令710号）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tblCellMar>
            <w:top w:w="0" w:type="dxa"/>
            <w:left w:w="0" w:type="dxa"/>
            <w:bottom w:w="0" w:type="dxa"/>
            <w:right w:w="0" w:type="dxa"/>
          </w:tblCellMar>
        </w:tblPrEx>
        <w:trPr>
          <w:trHeight w:val="370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17</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5.1职工正常退休（职）申请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78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18</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5.2城乡居民养老保险待遇申领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19</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5.3暂停养老保险待遇申请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5.4回复养老保险待遇申请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21</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5.5个人账户一次性待遇申领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22</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5.6丧葬补助金、抚恤金申领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23</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5.7居民养老保险注销登记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5.8遗属待遇申领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5.9病残津贴申请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26</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5.10城镇职工基本养老保险关系转移接续申请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3.《国务院办公厅关于转发人力资源社会保障部财政部城镇企业职工基本养老保险关系转移接续暂行办法的通知》（国办发</w:t>
            </w:r>
            <w:r>
              <w:rPr>
                <w:rStyle w:val="4"/>
                <w:rFonts w:hAnsi="宋体"/>
                <w:bdr w:val="none" w:color="auto" w:sz="0" w:space="0"/>
                <w:lang w:val="en-US" w:eastAsia="zh-CN" w:bidi="ar"/>
              </w:rPr>
              <w:t>〔</w:t>
            </w:r>
            <w:r>
              <w:rPr>
                <w:rStyle w:val="5"/>
                <w:bdr w:val="none" w:color="auto" w:sz="0" w:space="0"/>
                <w:lang w:val="en-US" w:eastAsia="zh-CN" w:bidi="ar"/>
              </w:rPr>
              <w:t>2009</w:t>
            </w:r>
            <w:r>
              <w:rPr>
                <w:rStyle w:val="4"/>
                <w:rFonts w:hAnsi="宋体"/>
                <w:bdr w:val="none" w:color="auto" w:sz="0" w:space="0"/>
                <w:lang w:val="en-US" w:eastAsia="zh-CN" w:bidi="ar"/>
              </w:rPr>
              <w:t>〕</w:t>
            </w:r>
            <w:r>
              <w:rPr>
                <w:rStyle w:val="5"/>
                <w:bdr w:val="none" w:color="auto" w:sz="0" w:space="0"/>
                <w:lang w:val="en-US" w:eastAsia="zh-CN" w:bidi="ar"/>
              </w:rPr>
              <w:t>66号）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5.11机关事业单位养老保险关系转移接续申请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3.《人力资源社会保障部财政部关于机关事业单位基本养老保险关系和职业年金转移接续有关问题的通知》（人社部规</w:t>
            </w:r>
            <w:r>
              <w:rPr>
                <w:rStyle w:val="4"/>
                <w:rFonts w:hAnsi="宋体"/>
                <w:bdr w:val="none" w:color="auto" w:sz="0" w:space="0"/>
                <w:lang w:val="en-US" w:eastAsia="zh-CN" w:bidi="ar"/>
              </w:rPr>
              <w:t>〔</w:t>
            </w:r>
            <w:r>
              <w:rPr>
                <w:rStyle w:val="5"/>
                <w:bdr w:val="none" w:color="auto" w:sz="0" w:space="0"/>
                <w:lang w:val="en-US" w:eastAsia="zh-CN" w:bidi="ar"/>
              </w:rPr>
              <w:t>2017</w:t>
            </w:r>
            <w:r>
              <w:rPr>
                <w:rStyle w:val="4"/>
                <w:rFonts w:hAnsi="宋体"/>
                <w:bdr w:val="none" w:color="auto" w:sz="0" w:space="0"/>
                <w:lang w:val="en-US" w:eastAsia="zh-CN" w:bidi="ar"/>
              </w:rPr>
              <w:t>〕</w:t>
            </w:r>
            <w:r>
              <w:rPr>
                <w:rStyle w:val="5"/>
                <w:bdr w:val="none" w:color="auto" w:sz="0" w:space="0"/>
                <w:lang w:val="en-US" w:eastAsia="zh-CN" w:bidi="ar"/>
              </w:rPr>
              <w:t>1号）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99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5.12城乡居民基本养老保险关系转移接续申请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3.《中华人民共和国劳动保险条例》（1951年2月26日《中华人民共和国劳动保险条例发布，自1951年2月25日起施行法律法规；1953年1月2日，《中华人民共和国劳动保险条例》经中央人民政府政务院修正）</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29</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5.13机关事业单位基本养老保险与城镇职工基本养老保险互转申请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3.《人力资源社会保障部财政部关于机关事业单位基本养老保险关系和职业年金转移接续有关问题的通知》（人社部规〔2017〕1号）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30</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5.14城镇职工基本养老保险与城乡居民基本养老保安制度衔接申请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3.《人力资源社会保障部财政部关于印发&lt;城乡养老保险制度衔接暂行办法&gt;的通知》（人社部发〔2014〕17号）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5.15军地养老保险关系转移接续申请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3.《人力资源社会保障部财政部总参保部总政治部总后勤部关于军人退役基本养老保险关系转移接续有关问题的通知》（后财〔2015〕1726号）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57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5.养老保险服务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5.16多重养老保险关系个人账户退费</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3.《人力资源和社会保障部&lt;关于贯彻落实国务院办公厅转发城镇职工基本养老保险关系转移接续暂行办法的通知&gt;》（人社部发〔2009〕187号）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6.1工伤事故备案</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34</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6.2用人单位办理工伤登记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35</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6.3变更工伤登记</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36</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6.4协议医疗机构的确认</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3.《工伤保险条例》（中华人民共和国国务院令第586号）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37</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6.5协议康复机构的确认</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38</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6.6辅助器具配置协议机构的确认</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39</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6.7异地居住就医申请确认</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40</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6.8异地工伤就医报告</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6.9旧伤复发申请确认</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6.10转诊转院申请确认</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43</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6.11工伤康复申请确认</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44</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6.12工伤康复治疗期延长申请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6.13辅助器具配置或更换申请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46</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6.14辅助器具异地配置申请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47</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6.15停工留薪期确认和延长确认</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48</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6.16工伤医疗（康复）费用申报</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49</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6.17住院伙食补助费申领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6.18统筹地区以外交通、食宿费申领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6.19一次性工伤医疗补助金申请</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6.20辅助器具配置（更换）费用申报</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53</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6.21伤残待遇申领（一次性伤残补助金、伤残津贴和生活护理费）</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54</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6.22一次性工亡补助金（含生活困难，预支50%确认）、丧葬补助金申领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55</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6.23供养亲属抚恤金申报</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56</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6.工伤保险服务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6.24工伤保险待遇变更</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3.《工伤保险条例》（中华人民共和国国务院令586号）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57</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7.1失业保险金申领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58</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7.2丧葬补助金和抚恤金申领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59</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7.3职业培训补贴申领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60</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7.4职业介绍补贴申领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61</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7.5农民合同制工人一次性生活补助申领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62</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7.6代缴基本医疗保险费</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63</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7.7价格临时补贴申领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64</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7.8失业保险关系转移接续</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65</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7.9稳岗补贴申领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66</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7.10技能提升补贴申领</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tblCellMar>
            <w:top w:w="0" w:type="dxa"/>
            <w:left w:w="0" w:type="dxa"/>
            <w:bottom w:w="0" w:type="dxa"/>
            <w:right w:w="0" w:type="dxa"/>
          </w:tblCellMar>
        </w:tblPrEx>
        <w:trPr>
          <w:trHeight w:val="294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67</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7.失业保险服务</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7.11东部7省（市)扩大支出试点项目</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3.《失业保险条例》（中华人民共和国国务院令258号）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68</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8.1企业年金方案备案</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69</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8.2企业年金方案重要条款变更备案</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r>
        <w:tblPrEx>
          <w:shd w:val="clear"/>
          <w:tblCellMar>
            <w:top w:w="0" w:type="dxa"/>
            <w:left w:w="0" w:type="dxa"/>
            <w:bottom w:w="0" w:type="dxa"/>
            <w:right w:w="0" w:type="dxa"/>
          </w:tblCellMar>
        </w:tblPrEx>
        <w:trPr>
          <w:trHeight w:val="3150" w:hRule="atLeast"/>
        </w:trPr>
        <w:tc>
          <w:tcPr>
            <w:tcW w:w="5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70</w:t>
            </w:r>
          </w:p>
        </w:tc>
        <w:tc>
          <w:tcPr>
            <w:tcW w:w="7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8.企业年金方案备案</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8.3企业年金方案终止备案</w:t>
            </w:r>
          </w:p>
        </w:tc>
        <w:tc>
          <w:tcPr>
            <w:tcW w:w="15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60" w:afterAutospacing="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1.事项名称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2.事项简述</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3.办理材料</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4.办理方式</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5.办理时限</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6.结果送达</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7.收费依据及标准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8.办事时间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9.办理机构及地点</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10.咨询查询途径</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11.监督投诉渠道</w:t>
            </w:r>
          </w:p>
        </w:tc>
        <w:tc>
          <w:tcPr>
            <w:tcW w:w="238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3.《企业年金办法》（中华人民共和国人力资源和社会保障部、财政部令第36号）</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公开事项信息形成变更之日起20个工作日内公开</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人力资源社会保障部门</w:t>
            </w:r>
          </w:p>
        </w:tc>
        <w:tc>
          <w:tcPr>
            <w:tcW w:w="33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Wingdings" w:hAnsi="Wingdings" w:eastAsia="宋体" w:cs="Wingdings"/>
                <w:i w:val="0"/>
                <w:color w:val="000000"/>
                <w:sz w:val="16"/>
                <w:szCs w:val="16"/>
                <w:u w:val="none"/>
              </w:rPr>
            </w:pPr>
            <w:r>
              <w:rPr>
                <w:rFonts w:hint="default" w:ascii="Wingdings" w:hAnsi="Wingdings" w:eastAsia="宋体" w:cs="Wingdings"/>
                <w:i w:val="0"/>
                <w:color w:val="000000"/>
                <w:kern w:val="0"/>
                <w:sz w:val="16"/>
                <w:szCs w:val="16"/>
                <w:u w:val="none"/>
                <w:bdr w:val="none" w:color="auto" w:sz="0" w:space="0"/>
                <w:lang w:val="en-US" w:eastAsia="zh-CN" w:bidi="ar"/>
              </w:rPr>
              <w:t>þ</w:t>
            </w:r>
            <w:r>
              <w:rPr>
                <w:rStyle w:val="5"/>
                <w:bdr w:val="none" w:color="auto" w:sz="0" w:space="0"/>
                <w:lang w:val="en-US" w:eastAsia="zh-CN" w:bidi="ar"/>
              </w:rPr>
              <w:t xml:space="preserve">政府网站    </w:t>
            </w:r>
            <w:r>
              <w:rPr>
                <w:rStyle w:val="6"/>
                <w:rFonts w:eastAsia="宋体"/>
                <w:bdr w:val="none" w:color="auto" w:sz="0" w:space="0"/>
                <w:lang w:val="en-US" w:eastAsia="zh-CN" w:bidi="ar"/>
              </w:rPr>
              <w:t>¨</w:t>
            </w:r>
            <w:r>
              <w:rPr>
                <w:rStyle w:val="5"/>
                <w:bdr w:val="none" w:color="auto" w:sz="0" w:space="0"/>
                <w:lang w:val="en-US" w:eastAsia="zh-CN" w:bidi="ar"/>
              </w:rPr>
              <w:t>政府公报</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 xml:space="preserve">两微一端    </w:t>
            </w:r>
            <w:r>
              <w:rPr>
                <w:rStyle w:val="6"/>
                <w:rFonts w:eastAsia="宋体"/>
                <w:bdr w:val="none" w:color="auto" w:sz="0" w:space="0"/>
                <w:lang w:val="en-US" w:eastAsia="zh-CN" w:bidi="ar"/>
              </w:rPr>
              <w:t>¨</w:t>
            </w:r>
            <w:r>
              <w:rPr>
                <w:rStyle w:val="5"/>
                <w:bdr w:val="none" w:color="auto" w:sz="0" w:space="0"/>
                <w:lang w:val="en-US" w:eastAsia="zh-CN" w:bidi="ar"/>
              </w:rPr>
              <w:t>发布会、听证会</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广播电视</w:t>
            </w:r>
            <w:r>
              <w:rPr>
                <w:rStyle w:val="6"/>
                <w:rFonts w:eastAsia="宋体"/>
                <w:bdr w:val="none" w:color="auto" w:sz="0" w:space="0"/>
                <w:lang w:val="en-US" w:eastAsia="zh-CN" w:bidi="ar"/>
              </w:rPr>
              <w:t xml:space="preserve">  ¨</w:t>
            </w:r>
            <w:r>
              <w:rPr>
                <w:rStyle w:val="5"/>
                <w:bdr w:val="none" w:color="auto" w:sz="0" w:space="0"/>
                <w:lang w:val="en-US" w:eastAsia="zh-CN" w:bidi="ar"/>
              </w:rPr>
              <w:t>纸质媒体</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公开查阅点</w:t>
            </w:r>
            <w:r>
              <w:rPr>
                <w:rStyle w:val="6"/>
                <w:rFonts w:eastAsia="宋体"/>
                <w:bdr w:val="none" w:color="auto" w:sz="0" w:space="0"/>
                <w:lang w:val="en-US" w:eastAsia="zh-CN" w:bidi="ar"/>
              </w:rPr>
              <w:t xml:space="preserve"> þ</w:t>
            </w:r>
            <w:r>
              <w:rPr>
                <w:rStyle w:val="5"/>
                <w:bdr w:val="none" w:color="auto" w:sz="0" w:space="0"/>
                <w:lang w:val="en-US" w:eastAsia="zh-CN" w:bidi="ar"/>
              </w:rPr>
              <w:t>政务服务中心</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便民服务站</w:t>
            </w:r>
            <w:r>
              <w:rPr>
                <w:rStyle w:val="6"/>
                <w:rFonts w:eastAsia="宋体"/>
                <w:bdr w:val="none" w:color="auto" w:sz="0" w:space="0"/>
                <w:lang w:val="en-US" w:eastAsia="zh-CN" w:bidi="ar"/>
              </w:rPr>
              <w:t xml:space="preserve"> ¨</w:t>
            </w:r>
            <w:r>
              <w:rPr>
                <w:rStyle w:val="5"/>
                <w:bdr w:val="none" w:color="auto" w:sz="0" w:space="0"/>
                <w:lang w:val="en-US" w:eastAsia="zh-CN" w:bidi="ar"/>
              </w:rPr>
              <w:t>入户、现场</w:t>
            </w:r>
            <w:r>
              <w:rPr>
                <w:rStyle w:val="5"/>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社区、企事业单位、村公示栏（电子屏）</w:t>
            </w:r>
            <w:r>
              <w:rPr>
                <w:rStyle w:val="6"/>
                <w:rFonts w:eastAsia="宋体"/>
                <w:bdr w:val="none" w:color="auto" w:sz="0" w:space="0"/>
                <w:lang w:val="en-US" w:eastAsia="zh-CN" w:bidi="ar"/>
              </w:rPr>
              <w:br w:type="textWrapping"/>
            </w:r>
            <w:r>
              <w:rPr>
                <w:rStyle w:val="6"/>
                <w:rFonts w:eastAsia="宋体"/>
                <w:bdr w:val="none" w:color="auto" w:sz="0" w:space="0"/>
                <w:lang w:val="en-US" w:eastAsia="zh-CN" w:bidi="ar"/>
              </w:rPr>
              <w:t>¨</w:t>
            </w:r>
            <w:r>
              <w:rPr>
                <w:rStyle w:val="5"/>
                <w:bdr w:val="none" w:color="auto" w:sz="0" w:space="0"/>
                <w:lang w:val="en-US" w:eastAsia="zh-CN" w:bidi="ar"/>
              </w:rPr>
              <w:t>精准推送</w:t>
            </w:r>
            <w:r>
              <w:rPr>
                <w:rStyle w:val="6"/>
                <w:rFonts w:eastAsia="宋体"/>
                <w:bdr w:val="none" w:color="auto" w:sz="0" w:space="0"/>
                <w:lang w:val="en-US" w:eastAsia="zh-CN" w:bidi="ar"/>
              </w:rPr>
              <w:t xml:space="preserve">  þ</w:t>
            </w:r>
            <w:r>
              <w:rPr>
                <w:rStyle w:val="5"/>
                <w:bdr w:val="none" w:color="auto" w:sz="0" w:space="0"/>
                <w:lang w:val="en-US" w:eastAsia="zh-CN" w:bidi="ar"/>
              </w:rPr>
              <w:t>其他基层公共服务平台</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bdr w:val="none" w:color="auto" w:sz="0" w:space="0"/>
                <w:lang w:val="en-US" w:eastAsia="zh-CN" w:bidi="ar"/>
              </w:rPr>
              <w:t>√</w:t>
            </w:r>
          </w:p>
        </w:tc>
      </w:tr>
    </w:tbl>
    <w:p/>
    <w:p/>
    <w:tbl>
      <w:tblPr>
        <w:tblW w:w="0" w:type="auto"/>
        <w:tblInd w:w="0" w:type="dxa"/>
        <w:shd w:val="clear"/>
        <w:tblLayout w:type="autofit"/>
        <w:tblCellMar>
          <w:top w:w="0" w:type="dxa"/>
          <w:left w:w="0" w:type="dxa"/>
          <w:bottom w:w="0" w:type="dxa"/>
          <w:right w:w="0" w:type="dxa"/>
        </w:tblCellMar>
      </w:tblPr>
      <w:tblGrid>
        <w:gridCol w:w="224"/>
        <w:gridCol w:w="429"/>
        <w:gridCol w:w="785"/>
        <w:gridCol w:w="4478"/>
        <w:gridCol w:w="4243"/>
        <w:gridCol w:w="923"/>
        <w:gridCol w:w="1032"/>
        <w:gridCol w:w="548"/>
        <w:gridCol w:w="258"/>
        <w:gridCol w:w="292"/>
        <w:gridCol w:w="224"/>
        <w:gridCol w:w="259"/>
        <w:gridCol w:w="293"/>
      </w:tblGrid>
      <w:tr>
        <w:tblPrEx>
          <w:shd w:val="clear"/>
          <w:tblCellMar>
            <w:top w:w="0" w:type="dxa"/>
            <w:left w:w="0" w:type="dxa"/>
            <w:bottom w:w="0" w:type="dxa"/>
            <w:right w:w="0" w:type="dxa"/>
          </w:tblCellMar>
        </w:tblPrEx>
        <w:trPr>
          <w:trHeight w:val="480" w:hRule="atLeast"/>
        </w:trPr>
        <w:tc>
          <w:tcPr>
            <w:tcW w:w="0" w:type="auto"/>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32"/>
                <w:szCs w:val="3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bookmarkStart w:id="0" w:name="_GoBack"/>
            <w:bookmarkEnd w:id="0"/>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882" w:hRule="atLeast"/>
        </w:trPr>
        <w:tc>
          <w:tcPr>
            <w:tcW w:w="0" w:type="auto"/>
            <w:gridSpan w:val="13"/>
            <w:tcBorders>
              <w:top w:val="nil"/>
              <w:left w:val="nil"/>
              <w:bottom w:val="single" w:color="000000" w:sz="4" w:space="0"/>
              <w:right w:val="nil"/>
            </w:tcBorders>
            <w:shd w:val="clear"/>
            <w:tcMar>
              <w:top w:w="15" w:type="dxa"/>
              <w:left w:w="15" w:type="dxa"/>
              <w:right w:w="15" w:type="dxa"/>
            </w:tcMar>
            <w:vAlign w:val="top"/>
          </w:tcPr>
          <w:p>
            <w:pPr>
              <w:keepNext w:val="0"/>
              <w:keepLines w:val="0"/>
              <w:widowControl/>
              <w:suppressLineNumbers w:val="0"/>
              <w:jc w:val="center"/>
              <w:textAlignment w:val="top"/>
              <w:rPr>
                <w:rFonts w:ascii="华文中宋" w:hAnsi="华文中宋" w:eastAsia="华文中宋" w:cs="华文中宋"/>
                <w:i w:val="0"/>
                <w:color w:val="000000"/>
                <w:sz w:val="40"/>
                <w:szCs w:val="40"/>
                <w:u w:val="none"/>
              </w:rPr>
            </w:pPr>
            <w:r>
              <w:rPr>
                <w:rFonts w:hint="eastAsia" w:ascii="华文中宋" w:hAnsi="华文中宋" w:eastAsia="华文中宋" w:cs="华文中宋"/>
                <w:i w:val="0"/>
                <w:color w:val="000000"/>
                <w:kern w:val="0"/>
                <w:sz w:val="40"/>
                <w:szCs w:val="40"/>
                <w:u w:val="none"/>
                <w:bdr w:val="none" w:color="auto" w:sz="0" w:space="0"/>
                <w:lang w:val="en-US" w:eastAsia="zh-CN" w:bidi="ar"/>
              </w:rPr>
              <w:t>社会保险领域基层政务公开标准目录</w:t>
            </w:r>
          </w:p>
        </w:tc>
      </w:tr>
      <w:tr>
        <w:tblPrEx>
          <w:tblCellMar>
            <w:top w:w="0" w:type="dxa"/>
            <w:left w:w="0" w:type="dxa"/>
            <w:bottom w:w="0" w:type="dxa"/>
            <w:right w:w="0" w:type="dxa"/>
          </w:tblCellMar>
        </w:tblPrEx>
        <w:trPr>
          <w:trHeight w:val="5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公开事项</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公开内容（要素）</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公开时限</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公开渠道和载体</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公开对象</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公开方式</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公开层级</w:t>
            </w:r>
          </w:p>
        </w:tc>
      </w:tr>
      <w:tr>
        <w:tblPrEx>
          <w:shd w:val="clear"/>
          <w:tblCellMar>
            <w:top w:w="0" w:type="dxa"/>
            <w:left w:w="0" w:type="dxa"/>
            <w:bottom w:w="0" w:type="dxa"/>
            <w:right w:w="0" w:type="dxa"/>
          </w:tblCellMar>
        </w:tblPrEx>
        <w:trPr>
          <w:trHeight w:val="7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一级事项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二级事项</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全社会</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特定群体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主动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依申请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县级</w:t>
            </w:r>
          </w:p>
        </w:tc>
      </w:tr>
      <w:tr>
        <w:tblPrEx>
          <w:shd w:val="clear"/>
          <w:tblCellMar>
            <w:top w:w="0" w:type="dxa"/>
            <w:left w:w="0" w:type="dxa"/>
            <w:bottom w:w="0" w:type="dxa"/>
            <w:right w:w="0" w:type="dxa"/>
          </w:tblCellMar>
        </w:tblPrEx>
        <w:trPr>
          <w:trHeight w:val="4095" w:hRule="atLeast"/>
        </w:trPr>
        <w:tc>
          <w:tcPr>
            <w:tcW w:w="0" w:type="auto"/>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1.养老保险服务</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1.1职工正常退休(职)申请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人力资源社会保障部门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tblCellMar>
            <w:top w:w="0" w:type="dxa"/>
            <w:left w:w="0" w:type="dxa"/>
            <w:bottom w:w="0" w:type="dxa"/>
            <w:right w:w="0" w:type="dxa"/>
          </w:tblCellMar>
        </w:tblPrEx>
        <w:trPr>
          <w:trHeight w:val="4020" w:hRule="atLeast"/>
        </w:trPr>
        <w:tc>
          <w:tcPr>
            <w:tcW w:w="0" w:type="auto"/>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2.社会保障卡服务</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2.1社会保障卡申领</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人力资源社会保障部门（或社会保障卡管理部门）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tblCellMar>
            <w:top w:w="0" w:type="dxa"/>
            <w:left w:w="0" w:type="dxa"/>
            <w:bottom w:w="0" w:type="dxa"/>
            <w:right w:w="0" w:type="dxa"/>
          </w:tblCellMar>
        </w:tblPrEx>
        <w:trPr>
          <w:trHeight w:val="4519" w:hRule="atLeast"/>
        </w:trPr>
        <w:tc>
          <w:tcPr>
            <w:tcW w:w="0" w:type="auto"/>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2.2社会保障卡应用状态查询</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人力资源社会保障部门（或社会保障卡管理部门）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tblCellMar>
            <w:top w:w="0" w:type="dxa"/>
            <w:left w:w="0" w:type="dxa"/>
            <w:bottom w:w="0" w:type="dxa"/>
            <w:right w:w="0" w:type="dxa"/>
          </w:tblCellMar>
        </w:tblPrEx>
        <w:trPr>
          <w:trHeight w:val="4579" w:hRule="atLeast"/>
        </w:trPr>
        <w:tc>
          <w:tcPr>
            <w:tcW w:w="0" w:type="auto"/>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2.3社会保障卡挂失与解挂</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人力资源社会保障部门（或社会保障卡管理部门）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tblCellMar>
            <w:top w:w="0" w:type="dxa"/>
            <w:left w:w="0" w:type="dxa"/>
            <w:bottom w:w="0" w:type="dxa"/>
            <w:right w:w="0" w:type="dxa"/>
          </w:tblCellMar>
        </w:tblPrEx>
        <w:trPr>
          <w:trHeight w:val="4579" w:hRule="atLeast"/>
        </w:trPr>
        <w:tc>
          <w:tcPr>
            <w:tcW w:w="0" w:type="auto"/>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2.4社会保障卡补换、换领、换发</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人力资源社会保障部门（或社会保障卡管理部门）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tblPrEx>
          <w:shd w:val="clear"/>
          <w:tblCellMar>
            <w:top w:w="0" w:type="dxa"/>
            <w:left w:w="0" w:type="dxa"/>
            <w:bottom w:w="0" w:type="dxa"/>
            <w:right w:w="0" w:type="dxa"/>
          </w:tblCellMar>
        </w:tblPrEx>
        <w:trPr>
          <w:trHeight w:val="4699" w:hRule="atLeast"/>
        </w:trPr>
        <w:tc>
          <w:tcPr>
            <w:tcW w:w="0" w:type="auto"/>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2.5社会保障卡注销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人力资源社会保障部门（或社会保障卡管理部门）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■其他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bl>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65E60"/>
    <w:rsid w:val="5D0B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ascii="仿宋_GB2312" w:eastAsia="仿宋_GB2312" w:cs="仿宋_GB2312"/>
      <w:color w:val="000000"/>
      <w:sz w:val="16"/>
      <w:szCs w:val="16"/>
      <w:u w:val="none"/>
    </w:rPr>
  </w:style>
  <w:style w:type="character" w:customStyle="1" w:styleId="5">
    <w:name w:val="font11"/>
    <w:basedOn w:val="3"/>
    <w:uiPriority w:val="0"/>
    <w:rPr>
      <w:rFonts w:hint="eastAsia" w:ascii="宋体" w:hAnsi="宋体" w:eastAsia="宋体" w:cs="宋体"/>
      <w:color w:val="000000"/>
      <w:sz w:val="16"/>
      <w:szCs w:val="16"/>
      <w:u w:val="none"/>
    </w:rPr>
  </w:style>
  <w:style w:type="character" w:customStyle="1" w:styleId="6">
    <w:name w:val="font01"/>
    <w:basedOn w:val="3"/>
    <w:uiPriority w:val="0"/>
    <w:rPr>
      <w:rFonts w:hint="default" w:ascii="Wingdings" w:hAnsi="Wingdings" w:cs="Wingdings"/>
      <w:color w:val="000000"/>
      <w:sz w:val="16"/>
      <w:szCs w:val="16"/>
      <w:u w:val="none"/>
    </w:rPr>
  </w:style>
  <w:style w:type="character" w:customStyle="1" w:styleId="7">
    <w:name w:val="font51"/>
    <w:basedOn w:val="3"/>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2020-09-07T07:55:19Z</dcterms:created>
  <dc:creator>adsl</dc:creator>
  <cp:lastModifiedBy>百岁安生不离笑</cp:lastModifiedBy>
  <dcterms:modified xsi:type="dcterms:W3CDTF">2020-09-07T07:57:49Z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