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农村集体土地征收基层政务公开标准目录</w:t>
      </w:r>
    </w:p>
    <w:tbl>
      <w:tblPr>
        <w:tblStyle w:val="3"/>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714"/>
        <w:gridCol w:w="1260"/>
        <w:gridCol w:w="1980"/>
        <w:gridCol w:w="1620"/>
        <w:gridCol w:w="1786"/>
        <w:gridCol w:w="554"/>
        <w:gridCol w:w="875"/>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shd w:val="clear" w:color="auto" w:fill="auto"/>
            <w:noWrap w:val="0"/>
            <w:vAlign w:val="center"/>
          </w:tcPr>
          <w:p>
            <w:pPr>
              <w:widowControl/>
              <w:jc w:val="center"/>
              <w:rPr>
                <w:rFonts w:ascii="Times New Roman" w:hAnsi="Times New Roman"/>
                <w:color w:val="000000"/>
                <w:kern w:val="0"/>
                <w:sz w:val="22"/>
              </w:rPr>
            </w:pPr>
            <w:r>
              <w:rPr>
                <w:rFonts w:ascii="黑体" w:hAnsi="宋体" w:eastAsia="黑体" w:cs="宋体"/>
                <w:color w:val="000000"/>
                <w:kern w:val="0"/>
                <w:sz w:val="22"/>
              </w:rPr>
              <w:t>序号</w:t>
            </w:r>
          </w:p>
        </w:tc>
        <w:tc>
          <w:tcPr>
            <w:tcW w:w="144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714"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26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98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62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786" w:type="dxa"/>
            <w:vMerge w:val="restart"/>
            <w:shd w:val="clear" w:color="auto" w:fill="auto"/>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shd w:val="clear" w:color="auto" w:fill="auto"/>
            <w:noWrap w:val="0"/>
            <w:vAlign w:val="center"/>
          </w:tcPr>
          <w:p>
            <w:pPr>
              <w:widowControl/>
              <w:jc w:val="left"/>
              <w:rPr>
                <w:rFonts w:ascii="Times New Roman" w:hAnsi="Times New Roman"/>
                <w:color w:val="000000"/>
                <w:kern w:val="0"/>
                <w:sz w:val="22"/>
              </w:rPr>
            </w:pP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714"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26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98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62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786" w:type="dxa"/>
            <w:vMerge w:val="continue"/>
            <w:shd w:val="clear" w:color="auto" w:fill="auto"/>
            <w:noWrap w:val="0"/>
            <w:vAlign w:val="center"/>
          </w:tcPr>
          <w:p>
            <w:pPr>
              <w:widowControl/>
              <w:jc w:val="left"/>
              <w:rPr>
                <w:rFonts w:ascii="黑体" w:hAnsi="宋体" w:eastAsia="黑体" w:cs="宋体"/>
                <w:kern w:val="0"/>
                <w:sz w:val="22"/>
              </w:rPr>
            </w:pPr>
          </w:p>
        </w:tc>
        <w:tc>
          <w:tcPr>
            <w:tcW w:w="554"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875"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spacing w:line="320" w:lineRule="exact"/>
              <w:jc w:val="center"/>
              <w:rPr>
                <w:rFonts w:ascii="仿宋_GB2312" w:eastAsia="仿宋_GB2312"/>
                <w:color w:val="000000"/>
                <w:sz w:val="18"/>
                <w:szCs w:val="18"/>
              </w:rPr>
            </w:pPr>
            <w:r>
              <w:rPr>
                <w:rFonts w:ascii="仿宋_GB2312" w:eastAsia="仿宋_GB2312"/>
                <w:color w:val="000000"/>
                <w:sz w:val="18"/>
                <w:szCs w:val="18"/>
              </w:rPr>
              <w:t>1</w:t>
            </w:r>
          </w:p>
        </w:tc>
        <w:tc>
          <w:tcPr>
            <w:tcW w:w="720" w:type="dxa"/>
            <w:shd w:val="clear" w:color="auto" w:fill="auto"/>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征地管理政策</w:t>
            </w:r>
          </w:p>
        </w:tc>
        <w:tc>
          <w:tcPr>
            <w:tcW w:w="720" w:type="dxa"/>
            <w:shd w:val="clear" w:color="auto" w:fill="auto"/>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2714" w:type="dxa"/>
            <w:shd w:val="clear" w:color="auto" w:fill="auto"/>
            <w:noWrap w:val="0"/>
            <w:vAlign w:val="center"/>
          </w:tcPr>
          <w:p>
            <w:pPr>
              <w:widowControl/>
              <w:spacing w:line="240" w:lineRule="exact"/>
              <w:jc w:val="left"/>
              <w:rPr>
                <w:rFonts w:hint="eastAsia" w:ascii="仿宋_GB2312" w:eastAsia="仿宋_GB2312"/>
                <w:color w:val="000000"/>
                <w:sz w:val="18"/>
                <w:szCs w:val="18"/>
              </w:rPr>
            </w:pPr>
            <w:r>
              <w:rPr>
                <w:rFonts w:hint="eastAsia" w:ascii="仿宋_GB2312" w:eastAsia="仿宋_GB2312"/>
                <w:color w:val="000000"/>
                <w:sz w:val="18"/>
                <w:szCs w:val="18"/>
              </w:rPr>
              <w:t>征地补偿安置法律以及适用于本地区的政策、技术标准等规定要求。1.法律法规和规章；2.征地前期准备、征地审查报批、征地组织实施规范性文件；3.土地补偿费和安置补助费标准（征地区片综合地价或征地统一年产值标准）；4.地上附着物和青苗补偿费标准；〔*农村村民住宅拆迁补偿标准〕；〔*征地工作流程图〕。</w:t>
            </w:r>
          </w:p>
        </w:tc>
        <w:tc>
          <w:tcPr>
            <w:tcW w:w="1260" w:type="dxa"/>
            <w:shd w:val="clear" w:color="auto" w:fill="auto"/>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《政府信息公开条例》</w:t>
            </w:r>
          </w:p>
        </w:tc>
        <w:tc>
          <w:tcPr>
            <w:tcW w:w="1980" w:type="dxa"/>
            <w:shd w:val="clear" w:color="auto" w:fill="auto"/>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自该信息形成或者变更之日起20个工作日内予以公开，法律法规另有规定的除外。</w:t>
            </w:r>
          </w:p>
        </w:tc>
        <w:tc>
          <w:tcPr>
            <w:tcW w:w="1620" w:type="dxa"/>
            <w:shd w:val="clear" w:color="auto" w:fill="auto"/>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县（市、区）自然资源主管部门和负责农村集体土地征收的有关部门</w:t>
            </w:r>
          </w:p>
        </w:tc>
        <w:tc>
          <w:tcPr>
            <w:tcW w:w="1786" w:type="dxa"/>
            <w:shd w:val="clear" w:color="auto" w:fill="auto"/>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 xml:space="preserve">■征地信息公开平台      </w:t>
            </w:r>
          </w:p>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■政务服务中心</w:t>
            </w:r>
          </w:p>
          <w:p>
            <w:pPr>
              <w:widowControl/>
              <w:spacing w:line="240" w:lineRule="exact"/>
              <w:rPr>
                <w:rFonts w:hint="eastAsia" w:ascii="仿宋_GB2312" w:eastAsia="仿宋_GB2312"/>
                <w:color w:val="000000"/>
                <w:sz w:val="18"/>
                <w:szCs w:val="18"/>
              </w:rPr>
            </w:pPr>
          </w:p>
        </w:tc>
        <w:tc>
          <w:tcPr>
            <w:tcW w:w="554" w:type="dxa"/>
            <w:shd w:val="clear" w:color="auto" w:fill="auto"/>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875" w:type="dxa"/>
            <w:shd w:val="clear" w:color="auto" w:fill="auto"/>
            <w:noWrap w:val="0"/>
            <w:vAlign w:val="center"/>
          </w:tcPr>
          <w:p>
            <w:pPr>
              <w:widowControl/>
              <w:spacing w:line="240" w:lineRule="exact"/>
              <w:jc w:val="center"/>
              <w:rPr>
                <w:rFonts w:hint="eastAsia" w:ascii="仿宋_GB2312" w:eastAsia="仿宋_GB2312"/>
                <w:color w:val="000000"/>
                <w:sz w:val="18"/>
                <w:szCs w:val="18"/>
              </w:rPr>
            </w:pPr>
          </w:p>
        </w:tc>
        <w:tc>
          <w:tcPr>
            <w:tcW w:w="551" w:type="dxa"/>
            <w:shd w:val="clear" w:color="auto" w:fill="auto"/>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widowControl/>
              <w:spacing w:line="240" w:lineRule="exact"/>
              <w:jc w:val="center"/>
              <w:rPr>
                <w:rFonts w:hint="eastAsia" w:ascii="仿宋_GB2312" w:eastAsia="仿宋_GB2312"/>
                <w:color w:val="000000"/>
                <w:sz w:val="18"/>
                <w:szCs w:val="18"/>
              </w:rPr>
            </w:pPr>
          </w:p>
        </w:tc>
        <w:tc>
          <w:tcPr>
            <w:tcW w:w="720" w:type="dxa"/>
            <w:shd w:val="clear" w:color="auto" w:fill="auto"/>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widowControl/>
              <w:spacing w:line="240" w:lineRule="exact"/>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6" w:hRule="atLeast"/>
          <w:jc w:val="center"/>
        </w:trPr>
        <w:tc>
          <w:tcPr>
            <w:tcW w:w="540" w:type="dxa"/>
            <w:vMerge w:val="restart"/>
            <w:shd w:val="clear" w:color="auto" w:fill="auto"/>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2</w:t>
            </w:r>
          </w:p>
        </w:tc>
        <w:tc>
          <w:tcPr>
            <w:tcW w:w="720" w:type="dxa"/>
            <w:vMerge w:val="restart"/>
            <w:shd w:val="clear" w:color="auto" w:fill="auto"/>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征地前期准备</w:t>
            </w:r>
          </w:p>
        </w:tc>
        <w:tc>
          <w:tcPr>
            <w:tcW w:w="720" w:type="dxa"/>
            <w:vMerge w:val="restart"/>
            <w:shd w:val="clear" w:color="auto" w:fill="auto"/>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拟征收土地告知</w:t>
            </w:r>
          </w:p>
        </w:tc>
        <w:tc>
          <w:tcPr>
            <w:tcW w:w="2714" w:type="dxa"/>
            <w:vMerge w:val="restart"/>
            <w:shd w:val="clear" w:color="auto" w:fill="auto"/>
            <w:noWrap w:val="0"/>
            <w:vAlign w:val="center"/>
          </w:tcPr>
          <w:p>
            <w:pPr>
              <w:widowControl/>
              <w:spacing w:line="240" w:lineRule="exact"/>
              <w:jc w:val="left"/>
              <w:rPr>
                <w:rFonts w:hint="eastAsia" w:ascii="仿宋_GB2312" w:eastAsia="仿宋_GB2312"/>
                <w:color w:val="000000"/>
                <w:sz w:val="18"/>
                <w:szCs w:val="18"/>
              </w:rPr>
            </w:pPr>
            <w:r>
              <w:rPr>
                <w:rFonts w:hint="eastAsia" w:ascii="仿宋_GB2312" w:eastAsia="仿宋_GB2312"/>
                <w:color w:val="000000"/>
                <w:sz w:val="18"/>
                <w:szCs w:val="18"/>
              </w:rPr>
              <w:t>在拟征收土地前，应明确征收土地有关事项并予以公开。1.拟征收土地用途；2.拟征收土地的位置和范围；3.征地补偿标准及安置途径；4.开展土地现状调查的安排；5.拟征收土地的原用途管控（包括不得抢栽、抢种、抢建等有关规定）；6.听证权利；〔*对土地现状调查结果有异议的救济措施〕。</w:t>
            </w:r>
          </w:p>
        </w:tc>
        <w:tc>
          <w:tcPr>
            <w:tcW w:w="1260" w:type="dxa"/>
            <w:vMerge w:val="restart"/>
            <w:shd w:val="clear" w:color="auto" w:fill="auto"/>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《国务院关于深化改革严格土地管理的决定》</w:t>
            </w:r>
          </w:p>
        </w:tc>
        <w:tc>
          <w:tcPr>
            <w:tcW w:w="1980" w:type="dxa"/>
            <w:shd w:val="clear" w:color="auto" w:fill="auto"/>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在实地启动拟征收土地工作时，在村公示栏公开。</w:t>
            </w:r>
          </w:p>
          <w:p>
            <w:pPr>
              <w:spacing w:line="240" w:lineRule="exact"/>
              <w:rPr>
                <w:rFonts w:hint="eastAsia" w:ascii="仿宋_GB2312" w:eastAsia="仿宋_GB2312"/>
                <w:color w:val="000000"/>
                <w:sz w:val="18"/>
                <w:szCs w:val="18"/>
              </w:rPr>
            </w:pPr>
          </w:p>
        </w:tc>
        <w:tc>
          <w:tcPr>
            <w:tcW w:w="1620" w:type="dxa"/>
            <w:vMerge w:val="restart"/>
            <w:shd w:val="clear" w:color="auto" w:fill="auto"/>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县（市、区）自然资源主管部门以及负责实施农村集体土地征收的有关部门（含乡镇政府等）</w:t>
            </w:r>
          </w:p>
        </w:tc>
        <w:tc>
          <w:tcPr>
            <w:tcW w:w="1786" w:type="dxa"/>
            <w:vMerge w:val="restart"/>
            <w:shd w:val="clear" w:color="auto" w:fill="auto"/>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■社区/企事业单位/村公示栏（电子屏）</w:t>
            </w:r>
          </w:p>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▲征地信息公开平台</w:t>
            </w:r>
          </w:p>
          <w:p>
            <w:pPr>
              <w:widowControl/>
              <w:spacing w:line="240" w:lineRule="exact"/>
              <w:rPr>
                <w:rFonts w:hint="eastAsia" w:ascii="仿宋_GB2312" w:eastAsia="仿宋_GB2312"/>
                <w:color w:val="000000"/>
                <w:sz w:val="18"/>
                <w:szCs w:val="18"/>
              </w:rPr>
            </w:pPr>
          </w:p>
        </w:tc>
        <w:tc>
          <w:tcPr>
            <w:tcW w:w="554" w:type="dxa"/>
            <w:shd w:val="clear" w:color="auto" w:fill="auto"/>
            <w:noWrap w:val="0"/>
            <w:vAlign w:val="center"/>
          </w:tcPr>
          <w:p>
            <w:pPr>
              <w:widowControl/>
              <w:spacing w:line="240" w:lineRule="exact"/>
              <w:jc w:val="center"/>
              <w:rPr>
                <w:rFonts w:hint="eastAsia" w:ascii="仿宋_GB2312" w:eastAsia="仿宋_GB2312"/>
                <w:color w:val="000000"/>
                <w:sz w:val="18"/>
                <w:szCs w:val="18"/>
              </w:rPr>
            </w:pPr>
          </w:p>
        </w:tc>
        <w:tc>
          <w:tcPr>
            <w:tcW w:w="875" w:type="dxa"/>
            <w:shd w:val="clear" w:color="auto" w:fill="auto"/>
            <w:noWrap w:val="0"/>
            <w:vAlign w:val="center"/>
          </w:tcPr>
          <w:p>
            <w:pPr>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551" w:type="dxa"/>
            <w:vMerge w:val="restart"/>
            <w:shd w:val="clear" w:color="auto" w:fill="auto"/>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shd w:val="clear" w:color="auto" w:fill="auto"/>
            <w:noWrap w:val="0"/>
            <w:vAlign w:val="center"/>
          </w:tcPr>
          <w:p>
            <w:pPr>
              <w:widowControl/>
              <w:spacing w:line="240" w:lineRule="exact"/>
              <w:jc w:val="center"/>
              <w:rPr>
                <w:rFonts w:hint="eastAsia" w:ascii="仿宋_GB2312" w:eastAsia="仿宋_GB2312"/>
                <w:color w:val="000000"/>
                <w:sz w:val="18"/>
                <w:szCs w:val="18"/>
              </w:rPr>
            </w:pPr>
          </w:p>
        </w:tc>
        <w:tc>
          <w:tcPr>
            <w:tcW w:w="720" w:type="dxa"/>
            <w:vMerge w:val="restart"/>
            <w:shd w:val="clear" w:color="auto" w:fill="auto"/>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shd w:val="clear" w:color="auto" w:fill="auto"/>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shd w:val="clear" w:color="auto" w:fill="auto"/>
            <w:noWrap w:val="0"/>
            <w:vAlign w:val="center"/>
          </w:tcPr>
          <w:p>
            <w:pPr>
              <w:widowControl/>
              <w:jc w:val="center"/>
              <w:rPr>
                <w:rFonts w:ascii="仿宋_GB2312" w:eastAsia="仿宋_GB2312"/>
                <w:color w:val="000000"/>
                <w:sz w:val="18"/>
                <w:szCs w:val="18"/>
              </w:rPr>
            </w:pPr>
          </w:p>
        </w:tc>
        <w:tc>
          <w:tcPr>
            <w:tcW w:w="720" w:type="dxa"/>
            <w:vMerge w:val="continue"/>
            <w:shd w:val="clear" w:color="auto" w:fill="auto"/>
            <w:noWrap w:val="0"/>
            <w:vAlign w:val="center"/>
          </w:tcPr>
          <w:p>
            <w:pPr>
              <w:widowControl/>
              <w:jc w:val="center"/>
              <w:rPr>
                <w:rFonts w:hint="eastAsia" w:ascii="仿宋_GB2312" w:eastAsia="仿宋_GB2312"/>
                <w:color w:val="000000"/>
                <w:sz w:val="18"/>
                <w:szCs w:val="18"/>
              </w:rPr>
            </w:pPr>
          </w:p>
        </w:tc>
        <w:tc>
          <w:tcPr>
            <w:tcW w:w="720" w:type="dxa"/>
            <w:vMerge w:val="continue"/>
            <w:shd w:val="clear" w:color="auto" w:fill="auto"/>
            <w:noWrap w:val="0"/>
            <w:vAlign w:val="center"/>
          </w:tcPr>
          <w:p>
            <w:pPr>
              <w:widowControl/>
              <w:spacing w:line="320" w:lineRule="exact"/>
              <w:jc w:val="center"/>
              <w:rPr>
                <w:rFonts w:hint="eastAsia" w:ascii="仿宋_GB2312" w:eastAsia="仿宋_GB2312"/>
                <w:color w:val="000000"/>
                <w:sz w:val="18"/>
                <w:szCs w:val="18"/>
              </w:rPr>
            </w:pPr>
          </w:p>
        </w:tc>
        <w:tc>
          <w:tcPr>
            <w:tcW w:w="2714" w:type="dxa"/>
            <w:vMerge w:val="continue"/>
            <w:shd w:val="clear" w:color="auto" w:fill="auto"/>
            <w:noWrap w:val="0"/>
            <w:vAlign w:val="center"/>
          </w:tcPr>
          <w:p>
            <w:pPr>
              <w:widowControl/>
              <w:jc w:val="left"/>
              <w:rPr>
                <w:rFonts w:hint="eastAsia" w:ascii="仿宋_GB2312" w:eastAsia="仿宋_GB2312"/>
                <w:color w:val="000000"/>
                <w:sz w:val="18"/>
                <w:szCs w:val="18"/>
              </w:rPr>
            </w:pPr>
          </w:p>
        </w:tc>
        <w:tc>
          <w:tcPr>
            <w:tcW w:w="1260" w:type="dxa"/>
            <w:vMerge w:val="continue"/>
            <w:shd w:val="clear" w:color="auto" w:fill="auto"/>
            <w:noWrap w:val="0"/>
            <w:vAlign w:val="center"/>
          </w:tcPr>
          <w:p>
            <w:pPr>
              <w:widowControl/>
              <w:rPr>
                <w:rFonts w:hint="eastAsia" w:ascii="仿宋_GB2312" w:eastAsia="仿宋_GB2312"/>
                <w:color w:val="000000"/>
                <w:sz w:val="18"/>
                <w:szCs w:val="18"/>
              </w:rPr>
            </w:pPr>
          </w:p>
        </w:tc>
        <w:tc>
          <w:tcPr>
            <w:tcW w:w="1980" w:type="dxa"/>
            <w:shd w:val="clear" w:color="auto" w:fill="auto"/>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1620" w:type="dxa"/>
            <w:vMerge w:val="continue"/>
            <w:shd w:val="clear" w:color="auto" w:fill="auto"/>
            <w:noWrap w:val="0"/>
            <w:vAlign w:val="center"/>
          </w:tcPr>
          <w:p>
            <w:pPr>
              <w:widowControl/>
              <w:rPr>
                <w:rFonts w:hint="eastAsia" w:ascii="仿宋_GB2312" w:eastAsia="仿宋_GB2312"/>
                <w:color w:val="000000"/>
                <w:sz w:val="18"/>
                <w:szCs w:val="18"/>
              </w:rPr>
            </w:pPr>
          </w:p>
        </w:tc>
        <w:tc>
          <w:tcPr>
            <w:tcW w:w="1786" w:type="dxa"/>
            <w:vMerge w:val="continue"/>
            <w:shd w:val="clear" w:color="auto" w:fill="auto"/>
            <w:noWrap w:val="0"/>
            <w:vAlign w:val="center"/>
          </w:tcPr>
          <w:p>
            <w:pPr>
              <w:widowControl/>
              <w:rPr>
                <w:rFonts w:hint="eastAsia" w:ascii="仿宋_GB2312" w:eastAsia="仿宋_GB2312"/>
                <w:color w:val="000000"/>
                <w:sz w:val="18"/>
                <w:szCs w:val="18"/>
              </w:rPr>
            </w:pPr>
          </w:p>
        </w:tc>
        <w:tc>
          <w:tcPr>
            <w:tcW w:w="554"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875" w:type="dxa"/>
            <w:shd w:val="clear" w:color="auto" w:fill="auto"/>
            <w:noWrap w:val="0"/>
            <w:vAlign w:val="center"/>
          </w:tcPr>
          <w:p>
            <w:pPr>
              <w:jc w:val="center"/>
              <w:rPr>
                <w:rFonts w:hint="eastAsia" w:ascii="仿宋_GB2312" w:eastAsia="仿宋_GB2312"/>
                <w:color w:val="000000"/>
                <w:sz w:val="18"/>
                <w:szCs w:val="18"/>
              </w:rPr>
            </w:pPr>
          </w:p>
        </w:tc>
        <w:tc>
          <w:tcPr>
            <w:tcW w:w="551" w:type="dxa"/>
            <w:vMerge w:val="continue"/>
            <w:shd w:val="clear" w:color="auto" w:fill="auto"/>
            <w:noWrap w:val="0"/>
            <w:vAlign w:val="center"/>
          </w:tcPr>
          <w:p>
            <w:pPr>
              <w:widowControl/>
              <w:spacing w:line="240" w:lineRule="exact"/>
              <w:jc w:val="center"/>
              <w:rPr>
                <w:rFonts w:hint="eastAsia" w:ascii="仿宋_GB2312" w:eastAsia="仿宋_GB2312"/>
                <w:color w:val="000000"/>
                <w:sz w:val="18"/>
                <w:szCs w:val="18"/>
              </w:rPr>
            </w:pPr>
          </w:p>
        </w:tc>
        <w:tc>
          <w:tcPr>
            <w:tcW w:w="720" w:type="dxa"/>
            <w:vMerge w:val="continue"/>
            <w:shd w:val="clear" w:color="auto" w:fill="auto"/>
            <w:noWrap w:val="0"/>
            <w:vAlign w:val="center"/>
          </w:tcPr>
          <w:p>
            <w:pPr>
              <w:widowControl/>
              <w:spacing w:line="240" w:lineRule="exact"/>
              <w:jc w:val="center"/>
              <w:rPr>
                <w:rFonts w:hint="eastAsia" w:ascii="仿宋_GB2312" w:eastAsia="仿宋_GB2312"/>
                <w:color w:val="000000"/>
                <w:sz w:val="18"/>
                <w:szCs w:val="18"/>
              </w:rPr>
            </w:pPr>
          </w:p>
        </w:tc>
        <w:tc>
          <w:tcPr>
            <w:tcW w:w="720" w:type="dxa"/>
            <w:vMerge w:val="continue"/>
            <w:shd w:val="clear" w:color="auto" w:fill="auto"/>
            <w:noWrap w:val="0"/>
            <w:vAlign w:val="center"/>
          </w:tcPr>
          <w:p>
            <w:pPr>
              <w:widowControl/>
              <w:spacing w:line="240" w:lineRule="exact"/>
              <w:jc w:val="center"/>
              <w:rPr>
                <w:rFonts w:hint="eastAsia" w:ascii="仿宋_GB2312" w:eastAsia="仿宋_GB2312"/>
                <w:color w:val="000000"/>
                <w:sz w:val="18"/>
                <w:szCs w:val="18"/>
              </w:rPr>
            </w:pPr>
          </w:p>
        </w:tc>
        <w:tc>
          <w:tcPr>
            <w:tcW w:w="720" w:type="dxa"/>
            <w:vMerge w:val="continue"/>
            <w:shd w:val="clear" w:color="auto" w:fill="auto"/>
            <w:noWrap w:val="0"/>
            <w:vAlign w:val="center"/>
          </w:tcPr>
          <w:p>
            <w:pPr>
              <w:widowControl/>
              <w:spacing w:line="240" w:lineRule="exact"/>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shd w:val="clear" w:color="auto" w:fill="auto"/>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3</w:t>
            </w:r>
          </w:p>
        </w:tc>
        <w:tc>
          <w:tcPr>
            <w:tcW w:w="720" w:type="dxa"/>
            <w:vMerge w:val="restart"/>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征地前期准备</w:t>
            </w:r>
          </w:p>
        </w:tc>
        <w:tc>
          <w:tcPr>
            <w:tcW w:w="720" w:type="dxa"/>
            <w:vMerge w:val="restart"/>
            <w:shd w:val="clear" w:color="auto" w:fill="auto"/>
            <w:noWrap w:val="0"/>
            <w:vAlign w:val="center"/>
          </w:tcPr>
          <w:p>
            <w:pPr>
              <w:widowControl/>
              <w:spacing w:line="320" w:lineRule="exact"/>
              <w:jc w:val="center"/>
              <w:rPr>
                <w:rFonts w:ascii="仿宋_GB2312" w:eastAsia="仿宋_GB2312"/>
                <w:color w:val="000000"/>
                <w:sz w:val="18"/>
                <w:szCs w:val="18"/>
              </w:rPr>
            </w:pPr>
            <w:r>
              <w:rPr>
                <w:rFonts w:hint="eastAsia" w:ascii="仿宋_GB2312" w:eastAsia="仿宋_GB2312"/>
                <w:color w:val="000000"/>
                <w:sz w:val="18"/>
                <w:szCs w:val="18"/>
              </w:rPr>
              <w:t>拟征收土地现状调查</w:t>
            </w:r>
          </w:p>
        </w:tc>
        <w:tc>
          <w:tcPr>
            <w:tcW w:w="2714" w:type="dxa"/>
            <w:vMerge w:val="restart"/>
            <w:shd w:val="clear" w:color="auto" w:fill="auto"/>
            <w:noWrap w:val="0"/>
            <w:vAlign w:val="center"/>
          </w:tcPr>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拟征收土地现状调查结果按规定确认后，调查结果予以公开。</w:t>
            </w:r>
          </w:p>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1.征收土地勘测调查表；</w:t>
            </w:r>
          </w:p>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2.地上附着物和青苗调查登记表；</w:t>
            </w:r>
          </w:p>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〔*土地勘测定界图件（涉及国家秘密的项目除外；图件应按有关法律法规规定予以技术处理）〕。</w:t>
            </w:r>
          </w:p>
          <w:p>
            <w:pPr>
              <w:widowControl/>
              <w:rPr>
                <w:rFonts w:ascii="仿宋_GB2312" w:eastAsia="仿宋_GB2312"/>
                <w:color w:val="000000"/>
                <w:sz w:val="18"/>
                <w:szCs w:val="18"/>
              </w:rPr>
            </w:pPr>
          </w:p>
        </w:tc>
        <w:tc>
          <w:tcPr>
            <w:tcW w:w="1260" w:type="dxa"/>
            <w:vMerge w:val="restart"/>
            <w:shd w:val="clear" w:color="auto" w:fill="auto"/>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《土地管理法》、《国务院关于深化改革严格土地管理的决定》</w:t>
            </w:r>
          </w:p>
        </w:tc>
        <w:tc>
          <w:tcPr>
            <w:tcW w:w="1980" w:type="dxa"/>
            <w:shd w:val="clear" w:color="auto" w:fill="auto"/>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拟征收土地现状调查结束后5个工作日内，在村公示栏公开。</w:t>
            </w:r>
          </w:p>
        </w:tc>
        <w:tc>
          <w:tcPr>
            <w:tcW w:w="1620" w:type="dxa"/>
            <w:vMerge w:val="restart"/>
            <w:shd w:val="clear" w:color="auto" w:fill="auto"/>
            <w:noWrap w:val="0"/>
            <w:vAlign w:val="center"/>
          </w:tcPr>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县（市、区）自然资源主管部门和负责农村集体土地征收的有关部门</w:t>
            </w:r>
          </w:p>
        </w:tc>
        <w:tc>
          <w:tcPr>
            <w:tcW w:w="1786" w:type="dxa"/>
            <w:vMerge w:val="restart"/>
            <w:shd w:val="clear" w:color="auto" w:fill="auto"/>
            <w:noWrap w:val="0"/>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■社区/企事业单位/村公示栏（电子屏）</w:t>
            </w:r>
          </w:p>
          <w:p>
            <w:pPr>
              <w:widowControl/>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rPr>
                <w:rFonts w:ascii="仿宋_GB2312" w:eastAsia="仿宋_GB2312"/>
                <w:color w:val="000000"/>
                <w:sz w:val="18"/>
                <w:szCs w:val="18"/>
              </w:rPr>
            </w:pPr>
            <w:r>
              <w:rPr>
                <w:rFonts w:hint="eastAsia" w:ascii="仿宋_GB2312" w:eastAsia="仿宋_GB2312"/>
                <w:color w:val="000000"/>
                <w:sz w:val="18"/>
                <w:szCs w:val="18"/>
              </w:rPr>
              <w:t>▲征地信息公开平台</w:t>
            </w:r>
            <w:r>
              <w:rPr>
                <w:rFonts w:hint="eastAsia" w:ascii="仿宋_GB2312" w:eastAsia="仿宋_GB2312"/>
                <w:color w:val="000000"/>
                <w:sz w:val="18"/>
                <w:szCs w:val="18"/>
              </w:rPr>
              <w:br w:type="textWrapping"/>
            </w:r>
          </w:p>
        </w:tc>
        <w:tc>
          <w:tcPr>
            <w:tcW w:w="554" w:type="dxa"/>
            <w:shd w:val="clear" w:color="auto" w:fill="auto"/>
            <w:noWrap w:val="0"/>
            <w:vAlign w:val="center"/>
          </w:tcPr>
          <w:p>
            <w:pPr>
              <w:widowControl/>
              <w:jc w:val="center"/>
              <w:rPr>
                <w:rFonts w:ascii="仿宋_GB2312" w:eastAsia="仿宋_GB2312"/>
                <w:color w:val="000000"/>
                <w:sz w:val="18"/>
                <w:szCs w:val="18"/>
              </w:rPr>
            </w:pPr>
          </w:p>
        </w:tc>
        <w:tc>
          <w:tcPr>
            <w:tcW w:w="875" w:type="dxa"/>
            <w:shd w:val="clear" w:color="auto" w:fill="auto"/>
            <w:noWrap w:val="0"/>
            <w:vAlign w:val="center"/>
          </w:tcPr>
          <w:p>
            <w:pPr>
              <w:jc w:val="center"/>
              <w:rPr>
                <w:rFonts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551" w:type="dxa"/>
            <w:vMerge w:val="restart"/>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shd w:val="clear" w:color="auto" w:fill="auto"/>
            <w:noWrap w:val="0"/>
            <w:vAlign w:val="center"/>
          </w:tcPr>
          <w:p>
            <w:pPr>
              <w:widowControl/>
              <w:jc w:val="center"/>
              <w:rPr>
                <w:rFonts w:ascii="仿宋_GB2312" w:eastAsia="仿宋_GB2312"/>
                <w:color w:val="000000"/>
                <w:sz w:val="18"/>
                <w:szCs w:val="18"/>
              </w:rPr>
            </w:pPr>
          </w:p>
        </w:tc>
        <w:tc>
          <w:tcPr>
            <w:tcW w:w="720" w:type="dxa"/>
            <w:vMerge w:val="restart"/>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shd w:val="clear" w:color="auto" w:fill="auto"/>
            <w:noWrap w:val="0"/>
            <w:vAlign w:val="center"/>
          </w:tcPr>
          <w:p>
            <w:pPr>
              <w:widowControl/>
              <w:jc w:val="center"/>
              <w:rPr>
                <w:rFonts w:ascii="仿宋_GB2312" w:eastAsia="仿宋_GB2312"/>
                <w:color w:val="000000"/>
                <w:sz w:val="18"/>
                <w:szCs w:val="18"/>
              </w:rPr>
            </w:pPr>
          </w:p>
        </w:tc>
        <w:tc>
          <w:tcPr>
            <w:tcW w:w="720" w:type="dxa"/>
            <w:vMerge w:val="continue"/>
            <w:shd w:val="clear" w:color="auto" w:fill="auto"/>
            <w:noWrap w:val="0"/>
            <w:vAlign w:val="center"/>
          </w:tcPr>
          <w:p>
            <w:pPr>
              <w:widowControl/>
              <w:jc w:val="center"/>
              <w:rPr>
                <w:rFonts w:hint="eastAsia" w:ascii="仿宋_GB2312" w:eastAsia="仿宋_GB2312"/>
                <w:color w:val="000000"/>
                <w:sz w:val="18"/>
                <w:szCs w:val="18"/>
              </w:rPr>
            </w:pPr>
          </w:p>
        </w:tc>
        <w:tc>
          <w:tcPr>
            <w:tcW w:w="720" w:type="dxa"/>
            <w:vMerge w:val="continue"/>
            <w:shd w:val="clear" w:color="auto" w:fill="auto"/>
            <w:noWrap w:val="0"/>
            <w:vAlign w:val="center"/>
          </w:tcPr>
          <w:p>
            <w:pPr>
              <w:widowControl/>
              <w:spacing w:line="320" w:lineRule="exact"/>
              <w:jc w:val="center"/>
              <w:rPr>
                <w:rFonts w:hint="eastAsia" w:ascii="仿宋_GB2312" w:eastAsia="仿宋_GB2312"/>
                <w:color w:val="000000"/>
                <w:sz w:val="18"/>
                <w:szCs w:val="18"/>
              </w:rPr>
            </w:pPr>
          </w:p>
        </w:tc>
        <w:tc>
          <w:tcPr>
            <w:tcW w:w="2714" w:type="dxa"/>
            <w:vMerge w:val="continue"/>
            <w:shd w:val="clear" w:color="auto" w:fill="auto"/>
            <w:noWrap w:val="0"/>
            <w:vAlign w:val="center"/>
          </w:tcPr>
          <w:p>
            <w:pPr>
              <w:rPr>
                <w:rFonts w:hint="eastAsia" w:ascii="仿宋_GB2312" w:eastAsia="仿宋_GB2312"/>
                <w:color w:val="000000"/>
                <w:sz w:val="18"/>
                <w:szCs w:val="18"/>
              </w:rPr>
            </w:pPr>
          </w:p>
        </w:tc>
        <w:tc>
          <w:tcPr>
            <w:tcW w:w="1260" w:type="dxa"/>
            <w:vMerge w:val="continue"/>
            <w:shd w:val="clear" w:color="auto" w:fill="auto"/>
            <w:noWrap w:val="0"/>
            <w:vAlign w:val="center"/>
          </w:tcPr>
          <w:p>
            <w:pPr>
              <w:widowControl/>
              <w:rPr>
                <w:rFonts w:ascii="仿宋_GB2312" w:eastAsia="仿宋_GB2312"/>
                <w:color w:val="000000"/>
                <w:sz w:val="18"/>
                <w:szCs w:val="18"/>
              </w:rPr>
            </w:pPr>
          </w:p>
        </w:tc>
        <w:tc>
          <w:tcPr>
            <w:tcW w:w="1980" w:type="dxa"/>
            <w:shd w:val="clear" w:color="auto" w:fill="auto"/>
            <w:noWrap w:val="0"/>
            <w:vAlign w:val="center"/>
          </w:tcPr>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1620" w:type="dxa"/>
            <w:vMerge w:val="continue"/>
            <w:shd w:val="clear" w:color="auto" w:fill="auto"/>
            <w:noWrap w:val="0"/>
            <w:vAlign w:val="center"/>
          </w:tcPr>
          <w:p>
            <w:pPr>
              <w:widowControl/>
              <w:spacing w:line="320" w:lineRule="exact"/>
              <w:jc w:val="center"/>
              <w:rPr>
                <w:rFonts w:hint="eastAsia" w:ascii="仿宋_GB2312" w:eastAsia="仿宋_GB2312"/>
                <w:color w:val="000000"/>
                <w:sz w:val="18"/>
                <w:szCs w:val="18"/>
              </w:rPr>
            </w:pPr>
          </w:p>
        </w:tc>
        <w:tc>
          <w:tcPr>
            <w:tcW w:w="1786" w:type="dxa"/>
            <w:vMerge w:val="continue"/>
            <w:shd w:val="clear" w:color="auto" w:fill="auto"/>
            <w:noWrap w:val="0"/>
            <w:vAlign w:val="center"/>
          </w:tcPr>
          <w:p>
            <w:pPr>
              <w:widowControl/>
              <w:rPr>
                <w:rFonts w:hint="eastAsia" w:ascii="仿宋_GB2312" w:eastAsia="仿宋_GB2312"/>
                <w:color w:val="000000"/>
                <w:sz w:val="18"/>
                <w:szCs w:val="18"/>
              </w:rPr>
            </w:pPr>
          </w:p>
        </w:tc>
        <w:tc>
          <w:tcPr>
            <w:tcW w:w="554"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shd w:val="clear" w:color="auto" w:fill="auto"/>
            <w:noWrap w:val="0"/>
            <w:vAlign w:val="center"/>
          </w:tcPr>
          <w:p>
            <w:pPr>
              <w:jc w:val="center"/>
              <w:rPr>
                <w:rFonts w:hint="eastAsia" w:ascii="仿宋_GB2312" w:eastAsia="仿宋_GB2312"/>
                <w:color w:val="000000"/>
                <w:sz w:val="18"/>
                <w:szCs w:val="18"/>
              </w:rPr>
            </w:pPr>
          </w:p>
        </w:tc>
        <w:tc>
          <w:tcPr>
            <w:tcW w:w="551" w:type="dxa"/>
            <w:vMerge w:val="continue"/>
            <w:shd w:val="clear" w:color="auto" w:fill="auto"/>
            <w:noWrap w:val="0"/>
            <w:vAlign w:val="center"/>
          </w:tcPr>
          <w:p>
            <w:pPr>
              <w:widowControl/>
              <w:jc w:val="center"/>
              <w:rPr>
                <w:rFonts w:hint="eastAsia" w:ascii="仿宋_GB2312" w:eastAsia="仿宋_GB2312"/>
                <w:color w:val="000000"/>
                <w:sz w:val="18"/>
                <w:szCs w:val="18"/>
              </w:rPr>
            </w:pPr>
          </w:p>
        </w:tc>
        <w:tc>
          <w:tcPr>
            <w:tcW w:w="720" w:type="dxa"/>
            <w:vMerge w:val="continue"/>
            <w:shd w:val="clear" w:color="auto" w:fill="auto"/>
            <w:noWrap w:val="0"/>
            <w:vAlign w:val="center"/>
          </w:tcPr>
          <w:p>
            <w:pPr>
              <w:widowControl/>
              <w:jc w:val="center"/>
              <w:rPr>
                <w:rFonts w:ascii="仿宋_GB2312" w:eastAsia="仿宋_GB2312"/>
                <w:color w:val="000000"/>
                <w:sz w:val="18"/>
                <w:szCs w:val="18"/>
              </w:rPr>
            </w:pPr>
          </w:p>
        </w:tc>
        <w:tc>
          <w:tcPr>
            <w:tcW w:w="720" w:type="dxa"/>
            <w:vMerge w:val="continue"/>
            <w:shd w:val="clear" w:color="auto" w:fill="auto"/>
            <w:noWrap w:val="0"/>
            <w:vAlign w:val="center"/>
          </w:tcPr>
          <w:p>
            <w:pPr>
              <w:widowControl/>
              <w:jc w:val="center"/>
              <w:rPr>
                <w:rFonts w:hint="eastAsia" w:ascii="仿宋_GB2312" w:eastAsia="仿宋_GB2312"/>
                <w:color w:val="000000"/>
                <w:sz w:val="18"/>
                <w:szCs w:val="18"/>
              </w:rPr>
            </w:pPr>
          </w:p>
        </w:tc>
        <w:tc>
          <w:tcPr>
            <w:tcW w:w="720" w:type="dxa"/>
            <w:vMerge w:val="continue"/>
            <w:shd w:val="clear" w:color="auto" w:fill="auto"/>
            <w:noWrap w:val="0"/>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shd w:val="clear" w:color="auto" w:fill="auto"/>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4</w:t>
            </w:r>
          </w:p>
        </w:tc>
        <w:tc>
          <w:tcPr>
            <w:tcW w:w="720" w:type="dxa"/>
            <w:vMerge w:val="continue"/>
            <w:shd w:val="clear" w:color="auto" w:fill="auto"/>
            <w:noWrap w:val="0"/>
            <w:vAlign w:val="center"/>
          </w:tcPr>
          <w:p>
            <w:pPr>
              <w:widowControl/>
              <w:jc w:val="center"/>
              <w:rPr>
                <w:rFonts w:ascii="仿宋_GB2312" w:eastAsia="仿宋_GB2312"/>
                <w:color w:val="000000"/>
                <w:sz w:val="18"/>
                <w:szCs w:val="18"/>
              </w:rPr>
            </w:pPr>
          </w:p>
        </w:tc>
        <w:tc>
          <w:tcPr>
            <w:tcW w:w="720" w:type="dxa"/>
            <w:vMerge w:val="restart"/>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拟征地听证</w:t>
            </w:r>
          </w:p>
        </w:tc>
        <w:tc>
          <w:tcPr>
            <w:tcW w:w="2714" w:type="dxa"/>
            <w:vMerge w:val="restart"/>
            <w:shd w:val="clear" w:color="auto" w:fill="auto"/>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征地前期工作中依申请开展听证工作的，听证结果予以公开。按拟征收土地告知确定的时间制作《听证通知书》；按《听证通知书》规定的时间组织听证；实施听证的，公开听证相关材料。</w:t>
            </w:r>
          </w:p>
          <w:p>
            <w:pPr>
              <w:rPr>
                <w:rFonts w:hint="eastAsia" w:ascii="仿宋_GB2312" w:eastAsia="仿宋_GB2312"/>
                <w:color w:val="000000"/>
                <w:sz w:val="18"/>
                <w:szCs w:val="18"/>
              </w:rPr>
            </w:pPr>
            <w:r>
              <w:rPr>
                <w:rFonts w:hint="eastAsia" w:ascii="仿宋_GB2312" w:eastAsia="仿宋_GB2312"/>
                <w:color w:val="000000"/>
                <w:sz w:val="18"/>
                <w:szCs w:val="18"/>
              </w:rPr>
              <w:t>1.《听证通知书》；</w:t>
            </w:r>
          </w:p>
          <w:p>
            <w:pPr>
              <w:rPr>
                <w:rFonts w:hint="eastAsia" w:ascii="仿宋_GB2312" w:eastAsia="仿宋_GB2312"/>
                <w:color w:val="000000"/>
                <w:sz w:val="18"/>
                <w:szCs w:val="18"/>
              </w:rPr>
            </w:pPr>
            <w:r>
              <w:rPr>
                <w:rFonts w:hint="eastAsia" w:ascii="仿宋_GB2312" w:eastAsia="仿宋_GB2312"/>
                <w:color w:val="000000"/>
                <w:sz w:val="18"/>
                <w:szCs w:val="18"/>
              </w:rPr>
              <w:t>2.听证处理意见；</w:t>
            </w:r>
          </w:p>
          <w:p>
            <w:pPr>
              <w:rPr>
                <w:rFonts w:hint="eastAsia" w:ascii="仿宋_GB2312" w:eastAsia="仿宋_GB2312"/>
                <w:color w:val="000000"/>
                <w:sz w:val="18"/>
                <w:szCs w:val="18"/>
              </w:rPr>
            </w:pPr>
            <w:r>
              <w:rPr>
                <w:rFonts w:hint="eastAsia" w:ascii="仿宋_GB2312" w:eastAsia="仿宋_GB2312"/>
                <w:color w:val="000000"/>
                <w:sz w:val="18"/>
                <w:szCs w:val="18"/>
              </w:rPr>
              <w:t>〔*听证笔录有关资料〕。</w:t>
            </w:r>
          </w:p>
        </w:tc>
        <w:tc>
          <w:tcPr>
            <w:tcW w:w="1260" w:type="dxa"/>
            <w:vMerge w:val="restart"/>
            <w:shd w:val="clear" w:color="auto" w:fill="auto"/>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《国土资源听证规定》、《国土资源部办公厅关于进一步做好市县征地信息公开工作有关问题的通知》</w:t>
            </w:r>
          </w:p>
        </w:tc>
        <w:tc>
          <w:tcPr>
            <w:tcW w:w="1980" w:type="dxa"/>
            <w:shd w:val="clear" w:color="auto" w:fill="auto"/>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①《听证通知书》应在组织听证7个工作日前予以公开；②其他听证公开内容在拟征地听证工作结束后5个工作日内在村公示栏公开。</w:t>
            </w:r>
          </w:p>
        </w:tc>
        <w:tc>
          <w:tcPr>
            <w:tcW w:w="1620" w:type="dxa"/>
            <w:vMerge w:val="restart"/>
            <w:shd w:val="clear" w:color="auto" w:fill="auto"/>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县（市、区）自然资源主管部门和负责农村集体土地征收的有关部门</w:t>
            </w:r>
          </w:p>
        </w:tc>
        <w:tc>
          <w:tcPr>
            <w:tcW w:w="1786" w:type="dxa"/>
            <w:vMerge w:val="restart"/>
            <w:shd w:val="clear" w:color="auto" w:fill="auto"/>
            <w:noWrap w:val="0"/>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■社区/企事业单位/村公示栏（电子屏）</w:t>
            </w:r>
          </w:p>
          <w:p>
            <w:pPr>
              <w:widowControl/>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rPr>
                <w:rFonts w:ascii="仿宋_GB2312" w:eastAsia="仿宋_GB2312"/>
                <w:color w:val="000000"/>
                <w:sz w:val="18"/>
                <w:szCs w:val="18"/>
              </w:rPr>
            </w:pPr>
            <w:r>
              <w:rPr>
                <w:rFonts w:hint="eastAsia" w:ascii="仿宋_GB2312" w:eastAsia="仿宋_GB2312"/>
                <w:color w:val="000000"/>
                <w:sz w:val="18"/>
                <w:szCs w:val="18"/>
              </w:rPr>
              <w:t>▲征地信息公开平台</w:t>
            </w:r>
            <w:r>
              <w:rPr>
                <w:rFonts w:hint="eastAsia" w:ascii="仿宋_GB2312" w:eastAsia="仿宋_GB2312"/>
                <w:color w:val="000000"/>
                <w:sz w:val="18"/>
                <w:szCs w:val="18"/>
              </w:rPr>
              <w:br w:type="textWrapping"/>
            </w:r>
          </w:p>
        </w:tc>
        <w:tc>
          <w:tcPr>
            <w:tcW w:w="554" w:type="dxa"/>
            <w:shd w:val="clear" w:color="auto" w:fill="auto"/>
            <w:noWrap w:val="0"/>
            <w:vAlign w:val="center"/>
          </w:tcPr>
          <w:p>
            <w:pPr>
              <w:widowControl/>
              <w:jc w:val="center"/>
              <w:rPr>
                <w:rFonts w:ascii="仿宋_GB2312" w:eastAsia="仿宋_GB2312"/>
                <w:color w:val="000000"/>
                <w:sz w:val="18"/>
                <w:szCs w:val="18"/>
              </w:rPr>
            </w:pPr>
          </w:p>
        </w:tc>
        <w:tc>
          <w:tcPr>
            <w:tcW w:w="875"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551" w:type="dxa"/>
            <w:vMerge w:val="restart"/>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shd w:val="clear" w:color="auto" w:fill="auto"/>
            <w:noWrap w:val="0"/>
            <w:vAlign w:val="center"/>
          </w:tcPr>
          <w:p>
            <w:pPr>
              <w:widowControl/>
              <w:jc w:val="center"/>
              <w:rPr>
                <w:rFonts w:ascii="仿宋_GB2312" w:eastAsia="仿宋_GB2312"/>
                <w:color w:val="000000"/>
                <w:sz w:val="18"/>
                <w:szCs w:val="18"/>
              </w:rPr>
            </w:pPr>
          </w:p>
        </w:tc>
        <w:tc>
          <w:tcPr>
            <w:tcW w:w="720" w:type="dxa"/>
            <w:vMerge w:val="restart"/>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shd w:val="clear" w:color="auto" w:fill="auto"/>
            <w:noWrap w:val="0"/>
            <w:vAlign w:val="center"/>
          </w:tcPr>
          <w:p>
            <w:pPr>
              <w:widowControl/>
              <w:jc w:val="center"/>
              <w:rPr>
                <w:rFonts w:ascii="仿宋_GB2312" w:eastAsia="仿宋_GB2312"/>
                <w:color w:val="000000"/>
                <w:sz w:val="18"/>
                <w:szCs w:val="18"/>
              </w:rPr>
            </w:pPr>
          </w:p>
        </w:tc>
        <w:tc>
          <w:tcPr>
            <w:tcW w:w="720" w:type="dxa"/>
            <w:vMerge w:val="continue"/>
            <w:shd w:val="clear" w:color="auto" w:fill="auto"/>
            <w:noWrap w:val="0"/>
            <w:vAlign w:val="center"/>
          </w:tcPr>
          <w:p>
            <w:pPr>
              <w:widowControl/>
              <w:jc w:val="center"/>
              <w:rPr>
                <w:rFonts w:ascii="仿宋_GB2312" w:eastAsia="仿宋_GB2312"/>
                <w:color w:val="000000"/>
                <w:sz w:val="18"/>
                <w:szCs w:val="18"/>
              </w:rPr>
            </w:pPr>
          </w:p>
        </w:tc>
        <w:tc>
          <w:tcPr>
            <w:tcW w:w="720" w:type="dxa"/>
            <w:vMerge w:val="continue"/>
            <w:shd w:val="clear" w:color="auto" w:fill="auto"/>
            <w:noWrap w:val="0"/>
            <w:vAlign w:val="center"/>
          </w:tcPr>
          <w:p>
            <w:pPr>
              <w:widowControl/>
              <w:spacing w:line="320" w:lineRule="exact"/>
              <w:jc w:val="center"/>
              <w:rPr>
                <w:rFonts w:ascii="仿宋_GB2312" w:eastAsia="仿宋_GB2312"/>
                <w:color w:val="000000"/>
                <w:sz w:val="18"/>
                <w:szCs w:val="18"/>
              </w:rPr>
            </w:pPr>
          </w:p>
        </w:tc>
        <w:tc>
          <w:tcPr>
            <w:tcW w:w="2714" w:type="dxa"/>
            <w:vMerge w:val="continue"/>
            <w:shd w:val="clear" w:color="auto" w:fill="auto"/>
            <w:noWrap w:val="0"/>
            <w:vAlign w:val="center"/>
          </w:tcPr>
          <w:p>
            <w:pPr>
              <w:widowControl/>
              <w:rPr>
                <w:rFonts w:ascii="仿宋_GB2312" w:eastAsia="仿宋_GB2312"/>
                <w:color w:val="000000"/>
                <w:sz w:val="18"/>
                <w:szCs w:val="18"/>
              </w:rPr>
            </w:pPr>
          </w:p>
        </w:tc>
        <w:tc>
          <w:tcPr>
            <w:tcW w:w="1260" w:type="dxa"/>
            <w:vMerge w:val="continue"/>
            <w:shd w:val="clear" w:color="auto" w:fill="auto"/>
            <w:noWrap w:val="0"/>
            <w:vAlign w:val="center"/>
          </w:tcPr>
          <w:p>
            <w:pPr>
              <w:widowControl/>
              <w:rPr>
                <w:rFonts w:ascii="仿宋_GB2312" w:eastAsia="仿宋_GB2312"/>
                <w:color w:val="000000"/>
                <w:sz w:val="18"/>
                <w:szCs w:val="18"/>
              </w:rPr>
            </w:pPr>
          </w:p>
        </w:tc>
        <w:tc>
          <w:tcPr>
            <w:tcW w:w="1980" w:type="dxa"/>
            <w:shd w:val="clear" w:color="auto" w:fill="auto"/>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1620" w:type="dxa"/>
            <w:vMerge w:val="continue"/>
            <w:shd w:val="clear" w:color="auto" w:fill="auto"/>
            <w:noWrap w:val="0"/>
            <w:vAlign w:val="center"/>
          </w:tcPr>
          <w:p>
            <w:pPr>
              <w:widowControl/>
              <w:spacing w:line="320" w:lineRule="exact"/>
              <w:jc w:val="center"/>
              <w:rPr>
                <w:rFonts w:ascii="仿宋_GB2312" w:eastAsia="仿宋_GB2312"/>
                <w:color w:val="000000"/>
                <w:sz w:val="18"/>
                <w:szCs w:val="18"/>
              </w:rPr>
            </w:pPr>
          </w:p>
        </w:tc>
        <w:tc>
          <w:tcPr>
            <w:tcW w:w="1786" w:type="dxa"/>
            <w:vMerge w:val="continue"/>
            <w:shd w:val="clear" w:color="auto" w:fill="auto"/>
            <w:noWrap w:val="0"/>
            <w:vAlign w:val="center"/>
          </w:tcPr>
          <w:p>
            <w:pPr>
              <w:widowControl/>
              <w:rPr>
                <w:rFonts w:ascii="仿宋_GB2312" w:eastAsia="仿宋_GB2312"/>
                <w:color w:val="000000"/>
                <w:sz w:val="18"/>
                <w:szCs w:val="18"/>
              </w:rPr>
            </w:pPr>
          </w:p>
        </w:tc>
        <w:tc>
          <w:tcPr>
            <w:tcW w:w="554"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shd w:val="clear" w:color="auto" w:fill="auto"/>
            <w:noWrap w:val="0"/>
            <w:vAlign w:val="center"/>
          </w:tcPr>
          <w:p>
            <w:pPr>
              <w:jc w:val="center"/>
              <w:rPr>
                <w:rFonts w:ascii="仿宋_GB2312" w:eastAsia="仿宋_GB2312"/>
                <w:color w:val="000000"/>
                <w:sz w:val="18"/>
                <w:szCs w:val="18"/>
              </w:rPr>
            </w:pPr>
          </w:p>
        </w:tc>
        <w:tc>
          <w:tcPr>
            <w:tcW w:w="551" w:type="dxa"/>
            <w:vMerge w:val="continue"/>
            <w:shd w:val="clear" w:color="auto" w:fill="auto"/>
            <w:noWrap w:val="0"/>
            <w:vAlign w:val="center"/>
          </w:tcPr>
          <w:p>
            <w:pPr>
              <w:widowControl/>
              <w:jc w:val="center"/>
              <w:rPr>
                <w:rFonts w:ascii="仿宋_GB2312" w:eastAsia="仿宋_GB2312"/>
                <w:color w:val="000000"/>
                <w:sz w:val="18"/>
                <w:szCs w:val="18"/>
              </w:rPr>
            </w:pPr>
          </w:p>
        </w:tc>
        <w:tc>
          <w:tcPr>
            <w:tcW w:w="720" w:type="dxa"/>
            <w:vMerge w:val="continue"/>
            <w:shd w:val="clear" w:color="auto" w:fill="auto"/>
            <w:noWrap w:val="0"/>
            <w:vAlign w:val="center"/>
          </w:tcPr>
          <w:p>
            <w:pPr>
              <w:widowControl/>
              <w:jc w:val="center"/>
              <w:rPr>
                <w:rFonts w:ascii="仿宋_GB2312" w:eastAsia="仿宋_GB2312"/>
                <w:color w:val="000000"/>
                <w:sz w:val="18"/>
                <w:szCs w:val="18"/>
              </w:rPr>
            </w:pPr>
          </w:p>
        </w:tc>
        <w:tc>
          <w:tcPr>
            <w:tcW w:w="720" w:type="dxa"/>
            <w:vMerge w:val="continue"/>
            <w:shd w:val="clear" w:color="auto" w:fill="auto"/>
            <w:noWrap w:val="0"/>
            <w:vAlign w:val="center"/>
          </w:tcPr>
          <w:p>
            <w:pPr>
              <w:widowControl/>
              <w:jc w:val="center"/>
              <w:rPr>
                <w:rFonts w:ascii="仿宋_GB2312" w:eastAsia="仿宋_GB2312"/>
                <w:color w:val="000000"/>
                <w:sz w:val="18"/>
                <w:szCs w:val="18"/>
              </w:rPr>
            </w:pPr>
          </w:p>
        </w:tc>
        <w:tc>
          <w:tcPr>
            <w:tcW w:w="720" w:type="dxa"/>
            <w:vMerge w:val="continue"/>
            <w:shd w:val="clear" w:color="auto" w:fill="auto"/>
            <w:noWrap w:val="0"/>
            <w:vAlign w:val="center"/>
          </w:tcPr>
          <w:p>
            <w:pPr>
              <w:widowControl/>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ind w:firstLine="90" w:firstLineChars="50"/>
              <w:rPr>
                <w:rFonts w:ascii="仿宋_GB2312" w:eastAsia="仿宋_GB2312"/>
                <w:color w:val="000000"/>
                <w:sz w:val="18"/>
                <w:szCs w:val="18"/>
              </w:rPr>
            </w:pPr>
            <w:r>
              <w:rPr>
                <w:rFonts w:ascii="仿宋_GB2312" w:eastAsia="仿宋_GB2312"/>
                <w:color w:val="000000"/>
                <w:sz w:val="18"/>
                <w:szCs w:val="18"/>
              </w:rPr>
              <w:t>5</w:t>
            </w:r>
          </w:p>
        </w:tc>
        <w:tc>
          <w:tcPr>
            <w:tcW w:w="720" w:type="dxa"/>
            <w:vMerge w:val="restart"/>
            <w:shd w:val="clear" w:color="auto" w:fill="auto"/>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征地审查报批</w:t>
            </w:r>
          </w:p>
        </w:tc>
        <w:tc>
          <w:tcPr>
            <w:tcW w:w="720" w:type="dxa"/>
            <w:shd w:val="clear" w:color="auto" w:fill="auto"/>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征地报批材料</w:t>
            </w:r>
          </w:p>
        </w:tc>
        <w:tc>
          <w:tcPr>
            <w:tcW w:w="2714" w:type="dxa"/>
            <w:shd w:val="clear" w:color="auto" w:fill="auto"/>
            <w:noWrap w:val="0"/>
            <w:vAlign w:val="center"/>
          </w:tcPr>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县（市、区）人民政府按照建设用地审查报批有关规定，组织用地报批过程中的相关报批材料予以公开。</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1.县（市、区）人民政府建设用地请示；</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2.县（市、区）自然资源主管部门建设用地审查意见；</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3.建设用地呈报说明书、农用地转用方案、补充耕地方案、征收土地方案、供地方案；</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〔*其他相关文字报批材料和图件由各省（区、市）确定公开方式〕。</w:t>
            </w:r>
          </w:p>
        </w:tc>
        <w:tc>
          <w:tcPr>
            <w:tcW w:w="1260" w:type="dxa"/>
            <w:shd w:val="clear" w:color="auto" w:fill="auto"/>
            <w:noWrap w:val="0"/>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《政府信息公开条例》、建设用地审查报批有关规定。</w:t>
            </w:r>
          </w:p>
        </w:tc>
        <w:tc>
          <w:tcPr>
            <w:tcW w:w="1980" w:type="dxa"/>
            <w:shd w:val="clear" w:color="auto" w:fill="auto"/>
            <w:noWrap w:val="0"/>
            <w:vAlign w:val="center"/>
          </w:tcPr>
          <w:p>
            <w:pPr>
              <w:widowControl/>
              <w:spacing w:before="156" w:beforeLines="50" w:after="156" w:afterLines="50" w:line="260" w:lineRule="exact"/>
              <w:jc w:val="left"/>
              <w:rPr>
                <w:rFonts w:ascii="仿宋_GB2312" w:eastAsia="仿宋_GB2312"/>
                <w:color w:val="000000"/>
                <w:sz w:val="18"/>
                <w:szCs w:val="18"/>
              </w:rPr>
            </w:pPr>
            <w:r>
              <w:rPr>
                <w:rFonts w:hint="eastAsia" w:ascii="仿宋_GB2312" w:eastAsia="仿宋_GB2312"/>
                <w:color w:val="000000"/>
                <w:sz w:val="18"/>
                <w:szCs w:val="18"/>
              </w:rPr>
              <w:t>收到征地批准文件之日起10</w:t>
            </w:r>
            <w:r>
              <w:rPr>
                <w:rFonts w:ascii="仿宋_GB2312" w:eastAsia="仿宋_GB2312"/>
                <w:color w:val="000000"/>
                <w:sz w:val="18"/>
                <w:szCs w:val="18"/>
              </w:rPr>
              <w:t>个工作日</w:t>
            </w:r>
            <w:r>
              <w:rPr>
                <w:rFonts w:hint="eastAsia" w:ascii="仿宋_GB2312" w:eastAsia="仿宋_GB2312"/>
                <w:color w:val="000000"/>
                <w:sz w:val="18"/>
                <w:szCs w:val="18"/>
              </w:rPr>
              <w:t>内公开。</w:t>
            </w:r>
          </w:p>
        </w:tc>
        <w:tc>
          <w:tcPr>
            <w:tcW w:w="1620" w:type="dxa"/>
            <w:shd w:val="clear" w:color="auto" w:fill="auto"/>
            <w:noWrap w:val="0"/>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县（市、区）自然资源主管部门</w:t>
            </w:r>
          </w:p>
        </w:tc>
        <w:tc>
          <w:tcPr>
            <w:tcW w:w="1786" w:type="dxa"/>
            <w:shd w:val="clear" w:color="auto" w:fill="auto"/>
            <w:noWrap w:val="0"/>
            <w:vAlign w:val="center"/>
          </w:tcPr>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r>
              <w:rPr>
                <w:rFonts w:hint="eastAsia" w:ascii="仿宋_GB2312" w:eastAsia="仿宋_GB2312"/>
                <w:color w:val="000000"/>
                <w:sz w:val="18"/>
                <w:szCs w:val="18"/>
              </w:rPr>
              <w:t xml:space="preserve">  </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▲征地信息公开平台</w:t>
            </w:r>
          </w:p>
          <w:p>
            <w:pPr>
              <w:widowControl/>
              <w:spacing w:line="260" w:lineRule="exact"/>
              <w:rPr>
                <w:rFonts w:ascii="仿宋_GB2312" w:eastAsia="仿宋_GB2312"/>
                <w:color w:val="000000"/>
                <w:sz w:val="18"/>
                <w:szCs w:val="18"/>
              </w:rPr>
            </w:pPr>
          </w:p>
        </w:tc>
        <w:tc>
          <w:tcPr>
            <w:tcW w:w="554" w:type="dxa"/>
            <w:shd w:val="clear" w:color="auto" w:fill="auto"/>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shd w:val="clear" w:color="auto" w:fill="auto"/>
            <w:noWrap w:val="0"/>
            <w:vAlign w:val="center"/>
          </w:tcPr>
          <w:p>
            <w:pPr>
              <w:widowControl/>
              <w:spacing w:line="300" w:lineRule="exact"/>
              <w:jc w:val="center"/>
              <w:rPr>
                <w:rFonts w:ascii="仿宋_GB2312" w:eastAsia="仿宋_GB2312"/>
                <w:color w:val="000000"/>
                <w:sz w:val="18"/>
                <w:szCs w:val="18"/>
              </w:rPr>
            </w:pPr>
          </w:p>
        </w:tc>
        <w:tc>
          <w:tcPr>
            <w:tcW w:w="551" w:type="dxa"/>
            <w:shd w:val="clear" w:color="auto" w:fill="auto"/>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widowControl/>
              <w:spacing w:line="300" w:lineRule="exact"/>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spacing w:line="320" w:lineRule="exact"/>
              <w:jc w:val="center"/>
              <w:rPr>
                <w:rFonts w:ascii="仿宋_GB2312" w:eastAsia="仿宋_GB2312"/>
                <w:color w:val="000000"/>
                <w:sz w:val="18"/>
                <w:szCs w:val="18"/>
              </w:rPr>
            </w:pPr>
            <w:r>
              <w:rPr>
                <w:rFonts w:ascii="仿宋_GB2312" w:eastAsia="仿宋_GB2312"/>
                <w:color w:val="000000"/>
                <w:sz w:val="18"/>
                <w:szCs w:val="18"/>
              </w:rPr>
              <w:t>6</w:t>
            </w:r>
          </w:p>
        </w:tc>
        <w:tc>
          <w:tcPr>
            <w:tcW w:w="720" w:type="dxa"/>
            <w:vMerge w:val="continue"/>
            <w:shd w:val="clear" w:color="auto" w:fill="auto"/>
            <w:noWrap w:val="0"/>
            <w:vAlign w:val="center"/>
          </w:tcPr>
          <w:p>
            <w:pPr>
              <w:widowControl/>
              <w:spacing w:line="300" w:lineRule="exact"/>
              <w:jc w:val="center"/>
              <w:rPr>
                <w:rFonts w:ascii="仿宋_GB2312" w:eastAsia="仿宋_GB2312"/>
                <w:color w:val="000000"/>
                <w:sz w:val="18"/>
                <w:szCs w:val="18"/>
              </w:rPr>
            </w:pPr>
          </w:p>
        </w:tc>
        <w:tc>
          <w:tcPr>
            <w:tcW w:w="720" w:type="dxa"/>
            <w:shd w:val="clear" w:color="auto" w:fill="auto"/>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征地批准文件</w:t>
            </w:r>
          </w:p>
        </w:tc>
        <w:tc>
          <w:tcPr>
            <w:tcW w:w="2714" w:type="dxa"/>
            <w:shd w:val="clear" w:color="auto" w:fill="auto"/>
            <w:noWrap w:val="0"/>
            <w:vAlign w:val="center"/>
          </w:tcPr>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 xml:space="preserve">有权一级人民政府批准用地的批复文件、地方人民政府转发批复文件应予以公开。 </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1.地方人民政府转发用地批复文件；</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2.其他用地批准文件。</w:t>
            </w:r>
          </w:p>
        </w:tc>
        <w:tc>
          <w:tcPr>
            <w:tcW w:w="1260" w:type="dxa"/>
            <w:shd w:val="clear" w:color="auto" w:fill="auto"/>
            <w:noWrap w:val="0"/>
            <w:vAlign w:val="center"/>
          </w:tcPr>
          <w:p>
            <w:pPr>
              <w:widowControl/>
              <w:spacing w:line="260" w:lineRule="exact"/>
              <w:jc w:val="left"/>
              <w:rPr>
                <w:rFonts w:hint="eastAsia" w:ascii="仿宋_GB2312" w:eastAsia="仿宋_GB2312"/>
                <w:color w:val="000000"/>
                <w:sz w:val="18"/>
                <w:szCs w:val="18"/>
              </w:rPr>
            </w:pPr>
            <w:r>
              <w:rPr>
                <w:rFonts w:hint="eastAsia" w:ascii="仿宋_GB2312" w:eastAsia="仿宋_GB2312"/>
                <w:color w:val="000000"/>
                <w:sz w:val="18"/>
                <w:szCs w:val="18"/>
              </w:rPr>
              <w:t>《土地管理法》、《政府信息公开条例》</w:t>
            </w:r>
          </w:p>
          <w:p>
            <w:pPr>
              <w:widowControl/>
              <w:spacing w:line="260" w:lineRule="exact"/>
              <w:jc w:val="left"/>
              <w:rPr>
                <w:rFonts w:ascii="仿宋_GB2312" w:eastAsia="仿宋_GB2312"/>
                <w:color w:val="000000"/>
                <w:sz w:val="18"/>
                <w:szCs w:val="18"/>
              </w:rPr>
            </w:pPr>
          </w:p>
        </w:tc>
        <w:tc>
          <w:tcPr>
            <w:tcW w:w="1980" w:type="dxa"/>
            <w:shd w:val="clear" w:color="auto" w:fill="auto"/>
            <w:noWrap w:val="0"/>
            <w:vAlign w:val="center"/>
          </w:tcPr>
          <w:p>
            <w:pPr>
              <w:widowControl/>
              <w:spacing w:line="260" w:lineRule="exact"/>
              <w:jc w:val="left"/>
              <w:rPr>
                <w:rFonts w:ascii="仿宋_GB2312" w:eastAsia="仿宋_GB2312"/>
                <w:color w:val="000000"/>
                <w:sz w:val="18"/>
                <w:szCs w:val="18"/>
              </w:rPr>
            </w:pPr>
            <w:r>
              <w:rPr>
                <w:rFonts w:hint="eastAsia" w:ascii="仿宋_GB2312" w:eastAsia="仿宋_GB2312"/>
                <w:color w:val="000000"/>
                <w:sz w:val="18"/>
                <w:szCs w:val="18"/>
              </w:rPr>
              <w:t>收到征地批准文件之日起10个工作日内公开。</w:t>
            </w:r>
          </w:p>
        </w:tc>
        <w:tc>
          <w:tcPr>
            <w:tcW w:w="1620" w:type="dxa"/>
            <w:shd w:val="clear" w:color="auto" w:fill="auto"/>
            <w:noWrap w:val="0"/>
            <w:vAlign w:val="center"/>
          </w:tcPr>
          <w:p>
            <w:pPr>
              <w:widowControl/>
              <w:spacing w:line="260" w:lineRule="exact"/>
              <w:jc w:val="left"/>
              <w:rPr>
                <w:rFonts w:ascii="仿宋_GB2312" w:eastAsia="仿宋_GB2312"/>
                <w:color w:val="000000"/>
                <w:sz w:val="18"/>
                <w:szCs w:val="18"/>
              </w:rPr>
            </w:pPr>
            <w:r>
              <w:rPr>
                <w:rFonts w:hint="eastAsia" w:ascii="仿宋_GB2312" w:eastAsia="仿宋_GB2312"/>
                <w:color w:val="000000"/>
                <w:sz w:val="18"/>
                <w:szCs w:val="18"/>
              </w:rPr>
              <w:t>县（市、区）自然资源主管部门</w:t>
            </w:r>
          </w:p>
        </w:tc>
        <w:tc>
          <w:tcPr>
            <w:tcW w:w="1786" w:type="dxa"/>
            <w:shd w:val="clear" w:color="auto" w:fill="auto"/>
            <w:noWrap w:val="0"/>
            <w:vAlign w:val="center"/>
          </w:tcPr>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r>
              <w:rPr>
                <w:rFonts w:hint="eastAsia" w:ascii="仿宋_GB2312" w:eastAsia="仿宋_GB2312"/>
                <w:color w:val="000000"/>
                <w:sz w:val="18"/>
                <w:szCs w:val="18"/>
              </w:rPr>
              <w:t xml:space="preserve">   </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 xml:space="preserve">▲征地信息公开平台      </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554" w:type="dxa"/>
            <w:shd w:val="clear" w:color="auto" w:fill="auto"/>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shd w:val="clear" w:color="auto" w:fill="auto"/>
            <w:noWrap w:val="0"/>
            <w:vAlign w:val="center"/>
          </w:tcPr>
          <w:p>
            <w:pPr>
              <w:widowControl/>
              <w:spacing w:line="300" w:lineRule="exact"/>
              <w:jc w:val="center"/>
              <w:rPr>
                <w:rFonts w:ascii="仿宋_GB2312" w:eastAsia="仿宋_GB2312"/>
                <w:color w:val="000000"/>
                <w:sz w:val="18"/>
                <w:szCs w:val="18"/>
              </w:rPr>
            </w:pPr>
          </w:p>
        </w:tc>
        <w:tc>
          <w:tcPr>
            <w:tcW w:w="551" w:type="dxa"/>
            <w:shd w:val="clear" w:color="auto" w:fill="auto"/>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widowControl/>
              <w:spacing w:line="300" w:lineRule="exact"/>
              <w:jc w:val="center"/>
              <w:rPr>
                <w:rFonts w:ascii="仿宋_GB2312" w:eastAsia="仿宋_GB2312"/>
                <w:color w:val="000000"/>
                <w:sz w:val="18"/>
                <w:szCs w:val="18"/>
              </w:rPr>
            </w:pPr>
          </w:p>
        </w:tc>
        <w:tc>
          <w:tcPr>
            <w:tcW w:w="720" w:type="dxa"/>
            <w:shd w:val="clear" w:color="auto" w:fill="auto"/>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7</w:t>
            </w:r>
          </w:p>
        </w:tc>
        <w:tc>
          <w:tcPr>
            <w:tcW w:w="720" w:type="dxa"/>
            <w:shd w:val="clear" w:color="auto" w:fill="auto"/>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720" w:type="dxa"/>
            <w:shd w:val="clear" w:color="auto" w:fill="auto"/>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征收土地公告</w:t>
            </w:r>
          </w:p>
        </w:tc>
        <w:tc>
          <w:tcPr>
            <w:tcW w:w="2714" w:type="dxa"/>
            <w:shd w:val="clear" w:color="auto" w:fill="auto"/>
            <w:noWrap w:val="0"/>
            <w:vAlign w:val="center"/>
          </w:tcPr>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根据用地批复文件，县（市、区）人民政府拟定征收土地公告并予以公开。</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1.征地批准机关、批准文号、批准时间和批准用途；</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2.被征收土地的所有权人、位置、地类、面积；</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3.征地补偿标准、农业人口安置方式、社会保障途径等；</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4.办理征地补偿登记的期限、地点和要求；</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5.救济途径。</w:t>
            </w:r>
          </w:p>
        </w:tc>
        <w:tc>
          <w:tcPr>
            <w:tcW w:w="1260" w:type="dxa"/>
            <w:shd w:val="clear" w:color="auto" w:fill="auto"/>
            <w:noWrap w:val="0"/>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《土地管理法》、《征收土地公告办法》</w:t>
            </w:r>
          </w:p>
        </w:tc>
        <w:tc>
          <w:tcPr>
            <w:tcW w:w="1980" w:type="dxa"/>
            <w:shd w:val="clear" w:color="auto" w:fill="auto"/>
            <w:noWrap w:val="0"/>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收到征地批准文件之日起10个工作日内公开。</w:t>
            </w:r>
          </w:p>
        </w:tc>
        <w:tc>
          <w:tcPr>
            <w:tcW w:w="1620" w:type="dxa"/>
            <w:shd w:val="clear" w:color="auto" w:fill="auto"/>
            <w:noWrap w:val="0"/>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县（市、区）自然资源主管部门和负责农村集体土地征收的有关部门</w:t>
            </w:r>
          </w:p>
        </w:tc>
        <w:tc>
          <w:tcPr>
            <w:tcW w:w="1786" w:type="dxa"/>
            <w:shd w:val="clear" w:color="auto" w:fill="auto"/>
            <w:noWrap w:val="0"/>
            <w:vAlign w:val="center"/>
          </w:tcPr>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r>
              <w:rPr>
                <w:rFonts w:hint="eastAsia" w:ascii="仿宋_GB2312" w:eastAsia="仿宋_GB2312"/>
                <w:color w:val="000000"/>
                <w:sz w:val="18"/>
                <w:szCs w:val="18"/>
              </w:rPr>
              <w:t xml:space="preserve">   </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 xml:space="preserve">▲征地信息公开平台      </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554" w:type="dxa"/>
            <w:shd w:val="clear" w:color="auto" w:fill="auto"/>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shd w:val="clear" w:color="auto" w:fill="auto"/>
            <w:noWrap w:val="0"/>
            <w:vAlign w:val="center"/>
          </w:tcPr>
          <w:p>
            <w:pPr>
              <w:widowControl/>
              <w:spacing w:line="300" w:lineRule="exact"/>
              <w:jc w:val="center"/>
              <w:rPr>
                <w:rFonts w:ascii="仿宋_GB2312" w:eastAsia="仿宋_GB2312"/>
                <w:color w:val="000000"/>
                <w:sz w:val="18"/>
                <w:szCs w:val="18"/>
              </w:rPr>
            </w:pPr>
          </w:p>
        </w:tc>
        <w:tc>
          <w:tcPr>
            <w:tcW w:w="551" w:type="dxa"/>
            <w:shd w:val="clear" w:color="auto" w:fill="auto"/>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widowControl/>
              <w:spacing w:line="300" w:lineRule="exact"/>
              <w:jc w:val="center"/>
              <w:rPr>
                <w:rFonts w:ascii="仿宋_GB2312" w:eastAsia="仿宋_GB2312"/>
                <w:color w:val="000000"/>
                <w:sz w:val="18"/>
                <w:szCs w:val="18"/>
              </w:rPr>
            </w:pPr>
          </w:p>
        </w:tc>
        <w:tc>
          <w:tcPr>
            <w:tcW w:w="720" w:type="dxa"/>
            <w:shd w:val="clear" w:color="auto" w:fill="auto"/>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8</w:t>
            </w:r>
          </w:p>
        </w:tc>
        <w:tc>
          <w:tcPr>
            <w:tcW w:w="720" w:type="dxa"/>
            <w:vMerge w:val="restart"/>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720" w:type="dxa"/>
            <w:shd w:val="clear" w:color="auto" w:fill="auto"/>
            <w:noWrap w:val="0"/>
            <w:vAlign w:val="center"/>
          </w:tcPr>
          <w:p>
            <w:pPr>
              <w:widowControl/>
              <w:spacing w:line="32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征地补偿登记</w:t>
            </w:r>
          </w:p>
        </w:tc>
        <w:tc>
          <w:tcPr>
            <w:tcW w:w="2714" w:type="dxa"/>
            <w:shd w:val="clear" w:color="auto" w:fill="auto"/>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征地补偿登记汇总表。</w:t>
            </w:r>
          </w:p>
          <w:p>
            <w:pPr>
              <w:rPr>
                <w:rFonts w:hint="eastAsia" w:ascii="仿宋_GB2312" w:eastAsia="仿宋_GB2312"/>
                <w:color w:val="000000"/>
                <w:sz w:val="18"/>
                <w:szCs w:val="18"/>
              </w:rPr>
            </w:pPr>
            <w:r>
              <w:rPr>
                <w:rFonts w:hint="eastAsia" w:ascii="仿宋_GB2312" w:eastAsia="仿宋_GB2312"/>
                <w:color w:val="000000"/>
                <w:sz w:val="18"/>
                <w:szCs w:val="18"/>
              </w:rPr>
              <w:t>〔*征地补偿登记前置与征收土地现状调查合并进行的，在前置环节一并公开〕。</w:t>
            </w:r>
          </w:p>
        </w:tc>
        <w:tc>
          <w:tcPr>
            <w:tcW w:w="1260" w:type="dxa"/>
            <w:shd w:val="clear" w:color="auto" w:fill="auto"/>
            <w:noWrap w:val="0"/>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《土地管理法》、《政府信息公开条例》</w:t>
            </w:r>
          </w:p>
        </w:tc>
        <w:tc>
          <w:tcPr>
            <w:tcW w:w="1980" w:type="dxa"/>
            <w:shd w:val="clear" w:color="auto" w:fill="auto"/>
            <w:noWrap w:val="0"/>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征地补偿登记结束后5个工作日内公开。公示结束后，转为依申请公开。</w:t>
            </w:r>
          </w:p>
        </w:tc>
        <w:tc>
          <w:tcPr>
            <w:tcW w:w="1620" w:type="dxa"/>
            <w:shd w:val="clear" w:color="auto" w:fill="auto"/>
            <w:noWrap w:val="0"/>
            <w:vAlign w:val="center"/>
          </w:tcPr>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县（市、区）自然资源主管部门和负责农村集体土地征收的有关部门</w:t>
            </w:r>
          </w:p>
        </w:tc>
        <w:tc>
          <w:tcPr>
            <w:tcW w:w="1786" w:type="dxa"/>
            <w:shd w:val="clear" w:color="auto" w:fill="auto"/>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 xml:space="preserve">村公示栏（电子屏）  </w:t>
            </w:r>
          </w:p>
        </w:tc>
        <w:tc>
          <w:tcPr>
            <w:tcW w:w="554" w:type="dxa"/>
            <w:shd w:val="clear" w:color="auto" w:fill="auto"/>
            <w:noWrap w:val="0"/>
            <w:vAlign w:val="center"/>
          </w:tcPr>
          <w:p>
            <w:pPr>
              <w:widowControl/>
              <w:jc w:val="center"/>
              <w:rPr>
                <w:rFonts w:ascii="仿宋_GB2312" w:eastAsia="仿宋_GB2312"/>
                <w:color w:val="000000"/>
                <w:sz w:val="18"/>
                <w:szCs w:val="18"/>
              </w:rPr>
            </w:pPr>
          </w:p>
        </w:tc>
        <w:tc>
          <w:tcPr>
            <w:tcW w:w="875"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widowControl/>
              <w:jc w:val="center"/>
              <w:rPr>
                <w:rFonts w:ascii="仿宋_GB2312" w:eastAsia="仿宋_GB2312"/>
                <w:color w:val="000000"/>
                <w:sz w:val="18"/>
                <w:szCs w:val="18"/>
              </w:rPr>
            </w:pPr>
          </w:p>
        </w:tc>
        <w:tc>
          <w:tcPr>
            <w:tcW w:w="720"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9</w:t>
            </w:r>
          </w:p>
        </w:tc>
        <w:tc>
          <w:tcPr>
            <w:tcW w:w="720" w:type="dxa"/>
            <w:vMerge w:val="continue"/>
            <w:shd w:val="clear" w:color="auto" w:fill="auto"/>
            <w:noWrap w:val="0"/>
            <w:vAlign w:val="center"/>
          </w:tcPr>
          <w:p>
            <w:pPr>
              <w:widowControl/>
              <w:jc w:val="center"/>
              <w:rPr>
                <w:rFonts w:ascii="仿宋_GB2312" w:eastAsia="仿宋_GB2312"/>
                <w:color w:val="000000"/>
                <w:sz w:val="18"/>
                <w:szCs w:val="18"/>
              </w:rPr>
            </w:pPr>
          </w:p>
        </w:tc>
        <w:tc>
          <w:tcPr>
            <w:tcW w:w="720" w:type="dxa"/>
            <w:shd w:val="clear" w:color="auto" w:fill="auto"/>
            <w:noWrap w:val="0"/>
            <w:vAlign w:val="center"/>
          </w:tcPr>
          <w:p>
            <w:pPr>
              <w:widowControl/>
              <w:spacing w:line="32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征地补偿安置方案公告</w:t>
            </w:r>
          </w:p>
        </w:tc>
        <w:tc>
          <w:tcPr>
            <w:tcW w:w="2714" w:type="dxa"/>
            <w:shd w:val="clear" w:color="auto" w:fill="auto"/>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征收土地公告期满后，县（市、区）自然资源主管部门和负责农村集体土地征收的有关部门拟定《征地补偿安置方案》并予以公开。</w:t>
            </w:r>
          </w:p>
          <w:p>
            <w:pPr>
              <w:rPr>
                <w:rFonts w:hint="eastAsia" w:ascii="仿宋_GB2312" w:eastAsia="仿宋_GB2312"/>
                <w:color w:val="000000"/>
                <w:sz w:val="18"/>
                <w:szCs w:val="18"/>
              </w:rPr>
            </w:pPr>
            <w:r>
              <w:rPr>
                <w:rFonts w:hint="eastAsia" w:ascii="仿宋_GB2312" w:eastAsia="仿宋_GB2312"/>
                <w:color w:val="000000"/>
                <w:sz w:val="18"/>
                <w:szCs w:val="18"/>
              </w:rPr>
              <w:t>1.被征收土地的位置、地类、面积，地上附着物和青苗的种类、数量，需要安置的农业人口和数量；</w:t>
            </w:r>
            <w:r>
              <w:rPr>
                <w:rFonts w:ascii="仿宋_GB2312" w:eastAsia="仿宋_GB2312"/>
                <w:color w:val="000000"/>
                <w:sz w:val="18"/>
                <w:szCs w:val="18"/>
              </w:rPr>
              <w:t xml:space="preserve"> </w:t>
            </w:r>
          </w:p>
          <w:p>
            <w:pPr>
              <w:rPr>
                <w:rFonts w:hint="eastAsia" w:ascii="仿宋_GB2312" w:eastAsia="仿宋_GB2312"/>
                <w:color w:val="000000"/>
                <w:sz w:val="18"/>
                <w:szCs w:val="18"/>
              </w:rPr>
            </w:pPr>
            <w:r>
              <w:rPr>
                <w:rFonts w:hint="eastAsia" w:ascii="仿宋_GB2312" w:eastAsia="仿宋_GB2312"/>
                <w:color w:val="000000"/>
                <w:sz w:val="18"/>
                <w:szCs w:val="18"/>
              </w:rPr>
              <w:t>2.土地补偿费和安置补助费的标准、数额、支付对象和支付方式；</w:t>
            </w:r>
          </w:p>
          <w:p>
            <w:pPr>
              <w:rPr>
                <w:rFonts w:ascii="仿宋_GB2312" w:eastAsia="仿宋_GB2312"/>
                <w:color w:val="000000"/>
                <w:sz w:val="18"/>
                <w:szCs w:val="18"/>
              </w:rPr>
            </w:pPr>
            <w:r>
              <w:rPr>
                <w:rFonts w:hint="eastAsia" w:ascii="仿宋_GB2312" w:eastAsia="仿宋_GB2312"/>
                <w:color w:val="000000"/>
                <w:sz w:val="18"/>
                <w:szCs w:val="18"/>
              </w:rPr>
              <w:t>3.地上附着物和青苗的补偿标准与支付方式；</w:t>
            </w:r>
          </w:p>
          <w:p>
            <w:pPr>
              <w:rPr>
                <w:rFonts w:hint="eastAsia" w:ascii="仿宋_GB2312" w:eastAsia="仿宋_GB2312"/>
                <w:color w:val="000000"/>
                <w:sz w:val="18"/>
                <w:szCs w:val="18"/>
              </w:rPr>
            </w:pPr>
            <w:r>
              <w:rPr>
                <w:rFonts w:hint="eastAsia" w:ascii="仿宋_GB2312" w:eastAsia="仿宋_GB2312"/>
                <w:color w:val="000000"/>
                <w:sz w:val="18"/>
                <w:szCs w:val="18"/>
              </w:rPr>
              <w:t>4.农业人员安置具体途径；</w:t>
            </w:r>
          </w:p>
          <w:p>
            <w:pPr>
              <w:rPr>
                <w:rFonts w:hint="eastAsia" w:ascii="仿宋_GB2312" w:eastAsia="仿宋_GB2312"/>
                <w:color w:val="000000"/>
                <w:sz w:val="18"/>
                <w:szCs w:val="18"/>
              </w:rPr>
            </w:pPr>
            <w:r>
              <w:rPr>
                <w:rFonts w:hint="eastAsia" w:ascii="仿宋_GB2312" w:eastAsia="仿宋_GB2312"/>
                <w:color w:val="000000"/>
                <w:sz w:val="18"/>
                <w:szCs w:val="18"/>
              </w:rPr>
              <w:t>5.其他有关征地补偿、安置的具体措施；</w:t>
            </w:r>
          </w:p>
          <w:p>
            <w:pPr>
              <w:rPr>
                <w:rFonts w:hint="eastAsia" w:ascii="仿宋_GB2312" w:eastAsia="仿宋_GB2312"/>
                <w:color w:val="000000"/>
                <w:sz w:val="18"/>
                <w:szCs w:val="18"/>
              </w:rPr>
            </w:pPr>
            <w:r>
              <w:rPr>
                <w:rFonts w:hint="eastAsia" w:ascii="仿宋_GB2312" w:eastAsia="仿宋_GB2312"/>
                <w:color w:val="000000"/>
                <w:sz w:val="18"/>
                <w:szCs w:val="18"/>
              </w:rPr>
              <w:t>6.听证等救济途径；</w:t>
            </w:r>
          </w:p>
          <w:p>
            <w:pPr>
              <w:rPr>
                <w:rFonts w:hint="eastAsia" w:ascii="仿宋_GB2312" w:eastAsia="仿宋_GB2312"/>
                <w:color w:val="000000"/>
                <w:sz w:val="18"/>
                <w:szCs w:val="18"/>
              </w:rPr>
            </w:pPr>
            <w:r>
              <w:rPr>
                <w:rFonts w:hint="eastAsia" w:ascii="仿宋_GB2312" w:eastAsia="仿宋_GB2312"/>
                <w:color w:val="000000"/>
                <w:sz w:val="18"/>
                <w:szCs w:val="18"/>
              </w:rPr>
              <w:t>〔*征地补偿安置方案前置的，在前置环节一并公开〕。</w:t>
            </w:r>
          </w:p>
        </w:tc>
        <w:tc>
          <w:tcPr>
            <w:tcW w:w="1260" w:type="dxa"/>
            <w:shd w:val="clear" w:color="auto" w:fill="auto"/>
            <w:noWrap w:val="0"/>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《国土资源部办公厅关于进一步做好市县征地信息公开工作有关问题的通知》、《征收土地公告办法》。</w:t>
            </w:r>
          </w:p>
        </w:tc>
        <w:tc>
          <w:tcPr>
            <w:tcW w:w="1980" w:type="dxa"/>
            <w:shd w:val="clear" w:color="auto" w:fill="auto"/>
            <w:noWrap w:val="0"/>
            <w:vAlign w:val="center"/>
          </w:tcPr>
          <w:p>
            <w:pPr>
              <w:widowControl/>
              <w:spacing w:line="320" w:lineRule="exact"/>
              <w:ind w:firstLine="360" w:firstLineChars="200"/>
              <w:rPr>
                <w:rFonts w:hint="eastAsia" w:ascii="仿宋_GB2312" w:eastAsia="仿宋_GB2312"/>
                <w:color w:val="000000"/>
                <w:sz w:val="18"/>
                <w:szCs w:val="18"/>
              </w:rPr>
            </w:pPr>
            <w:r>
              <w:rPr>
                <w:rFonts w:hint="eastAsia" w:ascii="仿宋_GB2312" w:eastAsia="仿宋_GB2312"/>
                <w:color w:val="000000"/>
                <w:sz w:val="18"/>
                <w:szCs w:val="18"/>
              </w:rPr>
              <w:t>拟定《征地补偿安置方案》后5个工作日内公开。</w:t>
            </w:r>
          </w:p>
          <w:p>
            <w:pPr>
              <w:widowControl/>
              <w:spacing w:line="320" w:lineRule="exact"/>
              <w:ind w:firstLine="360" w:firstLineChars="200"/>
              <w:rPr>
                <w:rFonts w:hint="eastAsia" w:ascii="仿宋_GB2312" w:eastAsia="仿宋_GB2312"/>
                <w:color w:val="000000"/>
                <w:sz w:val="18"/>
                <w:szCs w:val="18"/>
              </w:rPr>
            </w:pPr>
            <w:r>
              <w:rPr>
                <w:rFonts w:hint="eastAsia" w:ascii="仿宋_GB2312" w:eastAsia="仿宋_GB2312"/>
                <w:color w:val="000000"/>
                <w:sz w:val="18"/>
                <w:szCs w:val="18"/>
              </w:rPr>
              <w:t>公示结束后，转为依申请公开。</w:t>
            </w:r>
          </w:p>
          <w:p>
            <w:pPr>
              <w:widowControl/>
              <w:spacing w:line="320" w:lineRule="exact"/>
              <w:rPr>
                <w:rFonts w:hint="eastAsia" w:ascii="仿宋_GB2312" w:eastAsia="仿宋_GB2312"/>
                <w:color w:val="000000"/>
                <w:sz w:val="18"/>
                <w:szCs w:val="18"/>
              </w:rPr>
            </w:pPr>
          </w:p>
        </w:tc>
        <w:tc>
          <w:tcPr>
            <w:tcW w:w="1620" w:type="dxa"/>
            <w:shd w:val="clear" w:color="auto" w:fill="auto"/>
            <w:noWrap w:val="0"/>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县（市、区）自然资源主管部门和负责农村集体土地征收的有关部门</w:t>
            </w:r>
          </w:p>
        </w:tc>
        <w:tc>
          <w:tcPr>
            <w:tcW w:w="1786" w:type="dxa"/>
            <w:shd w:val="clear" w:color="auto" w:fill="auto"/>
            <w:noWrap w:val="0"/>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widowControl/>
              <w:rPr>
                <w:rFonts w:hint="eastAsia" w:ascii="仿宋_GB2312" w:eastAsia="仿宋_GB2312"/>
                <w:color w:val="000000"/>
                <w:sz w:val="18"/>
                <w:szCs w:val="18"/>
              </w:rPr>
            </w:pPr>
          </w:p>
        </w:tc>
        <w:tc>
          <w:tcPr>
            <w:tcW w:w="554" w:type="dxa"/>
            <w:shd w:val="clear" w:color="auto" w:fill="auto"/>
            <w:noWrap w:val="0"/>
            <w:vAlign w:val="center"/>
          </w:tcPr>
          <w:p>
            <w:pPr>
              <w:widowControl/>
              <w:jc w:val="center"/>
              <w:rPr>
                <w:rFonts w:ascii="仿宋_GB2312" w:eastAsia="仿宋_GB2312"/>
                <w:color w:val="000000"/>
                <w:sz w:val="18"/>
                <w:szCs w:val="18"/>
              </w:rPr>
            </w:pPr>
          </w:p>
        </w:tc>
        <w:tc>
          <w:tcPr>
            <w:tcW w:w="875" w:type="dxa"/>
            <w:shd w:val="clear" w:color="auto" w:fill="auto"/>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widowControl/>
              <w:jc w:val="center"/>
              <w:rPr>
                <w:rFonts w:ascii="仿宋_GB2312" w:eastAsia="仿宋_GB2312"/>
                <w:color w:val="000000"/>
                <w:sz w:val="18"/>
                <w:szCs w:val="18"/>
              </w:rPr>
            </w:pPr>
          </w:p>
        </w:tc>
        <w:tc>
          <w:tcPr>
            <w:tcW w:w="720" w:type="dxa"/>
            <w:shd w:val="clear" w:color="auto" w:fill="auto"/>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10</w:t>
            </w:r>
          </w:p>
        </w:tc>
        <w:tc>
          <w:tcPr>
            <w:tcW w:w="720" w:type="dxa"/>
            <w:vMerge w:val="restart"/>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720" w:type="dxa"/>
            <w:shd w:val="clear" w:color="auto" w:fill="auto"/>
            <w:noWrap w:val="0"/>
            <w:vAlign w:val="center"/>
          </w:tcPr>
          <w:p>
            <w:pPr>
              <w:widowControl/>
              <w:spacing w:line="320" w:lineRule="exact"/>
              <w:jc w:val="left"/>
              <w:rPr>
                <w:rFonts w:hint="eastAsia" w:ascii="仿宋_GB2312" w:eastAsia="仿宋_GB2312"/>
                <w:color w:val="000000"/>
                <w:sz w:val="18"/>
                <w:szCs w:val="18"/>
              </w:rPr>
            </w:pPr>
            <w:r>
              <w:rPr>
                <w:rFonts w:hint="eastAsia" w:ascii="仿宋_GB2312" w:eastAsia="仿宋_GB2312"/>
                <w:color w:val="000000"/>
                <w:sz w:val="18"/>
                <w:szCs w:val="18"/>
              </w:rPr>
              <w:t>征地补偿安置方案听证</w:t>
            </w:r>
          </w:p>
        </w:tc>
        <w:tc>
          <w:tcPr>
            <w:tcW w:w="2714" w:type="dxa"/>
            <w:shd w:val="clear" w:color="auto" w:fill="auto"/>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依申请开展听证工作的，听证结果公开。按征地补偿安置方案公告确定的时间制作《听证通知书》；按《听证通知书》规定的时间组织听证；实施听证的，公开听证相关材料。</w:t>
            </w:r>
          </w:p>
          <w:p>
            <w:pPr>
              <w:rPr>
                <w:rFonts w:hint="eastAsia" w:ascii="仿宋_GB2312" w:eastAsia="仿宋_GB2312"/>
                <w:color w:val="000000"/>
                <w:sz w:val="18"/>
                <w:szCs w:val="18"/>
              </w:rPr>
            </w:pPr>
            <w:r>
              <w:rPr>
                <w:rFonts w:hint="eastAsia" w:ascii="仿宋_GB2312" w:eastAsia="仿宋_GB2312"/>
                <w:color w:val="000000"/>
                <w:sz w:val="18"/>
                <w:szCs w:val="18"/>
              </w:rPr>
              <w:t>1.《听证通知书》；</w:t>
            </w:r>
          </w:p>
          <w:p>
            <w:pPr>
              <w:rPr>
                <w:rFonts w:hint="eastAsia" w:ascii="仿宋_GB2312" w:eastAsia="仿宋_GB2312"/>
                <w:color w:val="000000"/>
                <w:sz w:val="18"/>
                <w:szCs w:val="18"/>
              </w:rPr>
            </w:pPr>
            <w:r>
              <w:rPr>
                <w:rFonts w:hint="eastAsia" w:ascii="仿宋_GB2312" w:eastAsia="仿宋_GB2312"/>
                <w:color w:val="000000"/>
                <w:sz w:val="18"/>
                <w:szCs w:val="18"/>
              </w:rPr>
              <w:t>2.听证处理意见；〔*听证笔录有关资料〕。</w:t>
            </w:r>
          </w:p>
        </w:tc>
        <w:tc>
          <w:tcPr>
            <w:tcW w:w="1260" w:type="dxa"/>
            <w:shd w:val="clear" w:color="auto" w:fill="auto"/>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《国土资源听证规定》、《国土资源部办公厅关于进一步做好市县征地信息公开工作有关问题的通知》</w:t>
            </w:r>
          </w:p>
        </w:tc>
        <w:tc>
          <w:tcPr>
            <w:tcW w:w="1980" w:type="dxa"/>
            <w:shd w:val="clear" w:color="auto" w:fill="auto"/>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①《听证通知书》应在组织听证7个工作日前予以公开；②其他听证公开内容在征地听证结束后5个工作日内公开。公示结束后，转为依申请公开。</w:t>
            </w:r>
          </w:p>
        </w:tc>
        <w:tc>
          <w:tcPr>
            <w:tcW w:w="1620" w:type="dxa"/>
            <w:shd w:val="clear" w:color="auto" w:fill="auto"/>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县（市、区）自然资源主管部门和负责农村集体土地征收的有关部门</w:t>
            </w:r>
          </w:p>
        </w:tc>
        <w:tc>
          <w:tcPr>
            <w:tcW w:w="1786" w:type="dxa"/>
            <w:shd w:val="clear" w:color="auto" w:fill="auto"/>
            <w:noWrap w:val="0"/>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widowControl/>
              <w:rPr>
                <w:rFonts w:ascii="仿宋_GB2312" w:eastAsia="仿宋_GB2312"/>
                <w:color w:val="000000"/>
                <w:sz w:val="18"/>
                <w:szCs w:val="18"/>
              </w:rPr>
            </w:pPr>
          </w:p>
        </w:tc>
        <w:tc>
          <w:tcPr>
            <w:tcW w:w="554" w:type="dxa"/>
            <w:shd w:val="clear" w:color="auto" w:fill="auto"/>
            <w:noWrap w:val="0"/>
            <w:vAlign w:val="center"/>
          </w:tcPr>
          <w:p>
            <w:pPr>
              <w:widowControl/>
              <w:jc w:val="center"/>
              <w:rPr>
                <w:rFonts w:ascii="仿宋_GB2312" w:eastAsia="仿宋_GB2312"/>
                <w:color w:val="000000"/>
                <w:sz w:val="18"/>
                <w:szCs w:val="18"/>
              </w:rPr>
            </w:pPr>
          </w:p>
        </w:tc>
        <w:tc>
          <w:tcPr>
            <w:tcW w:w="875"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widowControl/>
              <w:jc w:val="center"/>
              <w:rPr>
                <w:rFonts w:ascii="仿宋_GB2312" w:eastAsia="仿宋_GB2312"/>
                <w:color w:val="000000"/>
                <w:sz w:val="18"/>
                <w:szCs w:val="18"/>
              </w:rPr>
            </w:pPr>
          </w:p>
        </w:tc>
        <w:tc>
          <w:tcPr>
            <w:tcW w:w="720"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11</w:t>
            </w:r>
          </w:p>
        </w:tc>
        <w:tc>
          <w:tcPr>
            <w:tcW w:w="720" w:type="dxa"/>
            <w:vMerge w:val="continue"/>
            <w:shd w:val="clear" w:color="auto" w:fill="auto"/>
            <w:noWrap w:val="0"/>
            <w:vAlign w:val="center"/>
          </w:tcPr>
          <w:p>
            <w:pPr>
              <w:widowControl/>
              <w:jc w:val="center"/>
              <w:rPr>
                <w:rFonts w:ascii="仿宋_GB2312" w:eastAsia="仿宋_GB2312"/>
                <w:color w:val="000000"/>
                <w:sz w:val="18"/>
                <w:szCs w:val="18"/>
              </w:rPr>
            </w:pPr>
          </w:p>
        </w:tc>
        <w:tc>
          <w:tcPr>
            <w:tcW w:w="720" w:type="dxa"/>
            <w:shd w:val="clear" w:color="auto" w:fill="auto"/>
            <w:noWrap w:val="0"/>
            <w:vAlign w:val="center"/>
          </w:tcPr>
          <w:p>
            <w:pPr>
              <w:widowControl/>
              <w:spacing w:line="320" w:lineRule="exact"/>
              <w:jc w:val="left"/>
              <w:rPr>
                <w:rFonts w:ascii="仿宋_GB2312" w:eastAsia="仿宋_GB2312"/>
                <w:color w:val="000000"/>
                <w:sz w:val="18"/>
                <w:szCs w:val="18"/>
              </w:rPr>
            </w:pPr>
            <w:r>
              <w:rPr>
                <w:rFonts w:hint="eastAsia" w:ascii="仿宋_GB2312" w:eastAsia="仿宋_GB2312"/>
                <w:color w:val="000000"/>
                <w:sz w:val="18"/>
                <w:szCs w:val="18"/>
              </w:rPr>
              <w:t>征地补偿费用支付</w:t>
            </w:r>
          </w:p>
        </w:tc>
        <w:tc>
          <w:tcPr>
            <w:tcW w:w="2714" w:type="dxa"/>
            <w:shd w:val="clear" w:color="auto" w:fill="auto"/>
            <w:noWrap w:val="0"/>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征地补偿费用支付凭证。</w:t>
            </w:r>
          </w:p>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〔在被征地村公告栏张贴，予以公开，张贴之日起20个工作日后可依申请公开〕。</w:t>
            </w:r>
          </w:p>
        </w:tc>
        <w:tc>
          <w:tcPr>
            <w:tcW w:w="1260" w:type="dxa"/>
            <w:shd w:val="clear" w:color="auto" w:fill="auto"/>
            <w:noWrap w:val="0"/>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《政府信息公开条例》、《征收土地公告办法》</w:t>
            </w:r>
          </w:p>
          <w:p>
            <w:pPr>
              <w:widowControl/>
              <w:spacing w:line="320" w:lineRule="exact"/>
              <w:rPr>
                <w:rFonts w:ascii="仿宋_GB2312" w:eastAsia="仿宋_GB2312"/>
                <w:color w:val="000000"/>
                <w:sz w:val="18"/>
                <w:szCs w:val="18"/>
              </w:rPr>
            </w:pPr>
          </w:p>
        </w:tc>
        <w:tc>
          <w:tcPr>
            <w:tcW w:w="1980" w:type="dxa"/>
            <w:shd w:val="clear" w:color="auto" w:fill="auto"/>
            <w:noWrap w:val="0"/>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获得支付凭证后5个工作日内予以公开。公示结束后，转为依申请公开。</w:t>
            </w:r>
          </w:p>
        </w:tc>
        <w:tc>
          <w:tcPr>
            <w:tcW w:w="1620" w:type="dxa"/>
            <w:shd w:val="clear" w:color="auto" w:fill="auto"/>
            <w:noWrap w:val="0"/>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县（市、区）自然资源主管部门和负责农村集体土地征收的有关部门</w:t>
            </w:r>
          </w:p>
        </w:tc>
        <w:tc>
          <w:tcPr>
            <w:tcW w:w="1786" w:type="dxa"/>
            <w:shd w:val="clear" w:color="auto" w:fill="auto"/>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554" w:type="dxa"/>
            <w:shd w:val="clear" w:color="auto" w:fill="auto"/>
            <w:noWrap w:val="0"/>
            <w:vAlign w:val="center"/>
          </w:tcPr>
          <w:p>
            <w:pPr>
              <w:widowControl/>
              <w:jc w:val="center"/>
              <w:rPr>
                <w:rFonts w:ascii="仿宋_GB2312" w:eastAsia="仿宋_GB2312"/>
                <w:color w:val="000000"/>
                <w:sz w:val="18"/>
                <w:szCs w:val="18"/>
              </w:rPr>
            </w:pPr>
          </w:p>
        </w:tc>
        <w:tc>
          <w:tcPr>
            <w:tcW w:w="875"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noWrap w:val="0"/>
            <w:vAlign w:val="center"/>
          </w:tcPr>
          <w:p>
            <w:pPr>
              <w:widowControl/>
              <w:jc w:val="center"/>
              <w:rPr>
                <w:rFonts w:ascii="仿宋_GB2312" w:eastAsia="仿宋_GB2312"/>
                <w:color w:val="000000"/>
                <w:sz w:val="18"/>
                <w:szCs w:val="18"/>
              </w:rPr>
            </w:pPr>
          </w:p>
        </w:tc>
        <w:tc>
          <w:tcPr>
            <w:tcW w:w="720" w:type="dxa"/>
            <w:shd w:val="clear" w:color="auto" w:fill="auto"/>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FE19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2020-09-22T03:09:19Z</dcterms:created>
  <dc:creator>adsl</dc:creator>
  <cp:lastModifiedBy>百岁安生不离笑</cp:lastModifiedBy>
  <dcterms:modified xsi:type="dcterms:W3CDTF">2020-09-22T03:10:26Z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