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25"/>
      <w:r>
        <w:rPr>
          <w:rFonts w:hint="eastAsia" w:ascii="方正小标宋_GBK" w:hAnsi="方正小标宋_GBK" w:eastAsia="方正小标宋_GBK"/>
          <w:b w:val="0"/>
          <w:bCs w:val="0"/>
          <w:sz w:val="30"/>
        </w:rPr>
        <w:t>安全生产领域基层政务公开标准目录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22"/>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8"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2002"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8" w:type="dxa"/>
            <w:vMerge w:val="continue"/>
            <w:vAlign w:val="center"/>
          </w:tcPr>
          <w:p>
            <w:pPr>
              <w:widowControl/>
              <w:jc w:val="center"/>
              <w:rPr>
                <w:rFonts w:ascii="仿宋_GB2312" w:hAnsi="Times New Roman" w:eastAsia="仿宋_GB2312"/>
                <w:color w:val="000000"/>
                <w:kern w:val="0"/>
                <w:sz w:val="18"/>
                <w:szCs w:val="18"/>
              </w:rPr>
            </w:pPr>
          </w:p>
        </w:tc>
        <w:tc>
          <w:tcPr>
            <w:tcW w:w="922"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22"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vMerge w:val="restart"/>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22"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color w:val="000000"/>
                <w:sz w:val="18"/>
                <w:szCs w:val="18"/>
              </w:rPr>
              <w:t>征求意见时对外公布的时限内公开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22"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22" w:type="dxa"/>
            <w:vMerge w:val="restart"/>
            <w:shd w:val="clear" w:color="auto" w:fill="auto"/>
            <w:vAlign w:val="center"/>
          </w:tcPr>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22" w:type="dxa"/>
            <w:shd w:val="clear" w:color="auto" w:fill="auto"/>
            <w:vAlign w:val="center"/>
          </w:tcPr>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22" w:type="dxa"/>
            <w:vMerge w:val="restart"/>
            <w:shd w:val="clear" w:color="auto" w:fill="auto"/>
            <w:vAlign w:val="center"/>
          </w:tcPr>
          <w:p>
            <w:pPr>
              <w:rPr>
                <w:rFonts w:ascii="仿宋_GB2312" w:hAnsi="宋体" w:eastAsia="仿宋_GB2312" w:cs="宋体"/>
                <w:color w:val="000000"/>
                <w:sz w:val="18"/>
                <w:szCs w:val="18"/>
              </w:rPr>
            </w:pPr>
          </w:p>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动态信息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22" w:type="dxa"/>
            <w:vMerge w:val="restart"/>
            <w:shd w:val="clear" w:color="auto" w:fill="auto"/>
            <w:vAlign w:val="center"/>
          </w:tcPr>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color w:val="000000"/>
                <w:sz w:val="18"/>
                <w:szCs w:val="18"/>
              </w:rPr>
              <w:t>信息形成后及时公开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22" w:type="dxa"/>
            <w:shd w:val="clear" w:color="auto" w:fill="auto"/>
            <w:vAlign w:val="center"/>
          </w:tcPr>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22" w:type="dxa"/>
            <w:vMerge w:val="restart"/>
            <w:shd w:val="clear" w:color="auto" w:fill="auto"/>
            <w:vAlign w:val="center"/>
          </w:tcPr>
          <w:p>
            <w:pPr>
              <w:rPr>
                <w:rFonts w:ascii="仿宋_GB2312" w:hAnsi="宋体" w:eastAsia="仿宋_GB2312" w:cs="宋体"/>
                <w:color w:val="000000"/>
                <w:sz w:val="18"/>
                <w:szCs w:val="18"/>
              </w:rPr>
            </w:pPr>
          </w:p>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主要业务办事指南</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sz w:val="18"/>
                <w:szCs w:val="18"/>
              </w:rPr>
              <w:t>信息形成或者变更之日起20个工作日内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22" w:type="dxa"/>
            <w:vMerge w:val="restart"/>
            <w:shd w:val="clear" w:color="auto" w:fill="auto"/>
            <w:vAlign w:val="center"/>
          </w:tcPr>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《政府信息公开条例》</w:t>
            </w:r>
          </w:p>
        </w:tc>
        <w:tc>
          <w:tcPr>
            <w:tcW w:w="1800" w:type="dxa"/>
            <w:vAlign w:val="center"/>
          </w:tcPr>
          <w:p>
            <w:pPr>
              <w:rPr>
                <w:rFonts w:ascii="仿宋_GB2312" w:hAnsi="宋体" w:eastAsia="仿宋_GB2312" w:cs="宋体"/>
                <w:bCs/>
                <w:sz w:val="18"/>
                <w:szCs w:val="18"/>
              </w:rPr>
            </w:pPr>
            <w:r>
              <w:rPr>
                <w:rFonts w:hint="eastAsia" w:ascii="仿宋_GB2312" w:eastAsia="仿宋_GB2312"/>
                <w:bCs/>
                <w:color w:val="000000"/>
                <w:sz w:val="18"/>
                <w:szCs w:val="18"/>
              </w:rPr>
              <w:t>每年1月31日前</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hAnsi="宋体" w:eastAsia="仿宋_GB2312" w:cs="宋体"/>
                <w:bCs/>
                <w:color w:val="000000"/>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22" w:type="dxa"/>
            <w:shd w:val="clear" w:color="auto" w:fill="auto"/>
            <w:vAlign w:val="center"/>
          </w:tcPr>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22" w:type="dxa"/>
            <w:vMerge w:val="restart"/>
            <w:shd w:val="clear" w:color="auto" w:fill="auto"/>
            <w:vAlign w:val="center"/>
          </w:tcPr>
          <w:p>
            <w:pPr>
              <w:rPr>
                <w:rFonts w:ascii="仿宋_GB2312" w:hAnsi="宋体" w:eastAsia="仿宋_GB2312" w:cs="宋体"/>
                <w:color w:val="000000"/>
                <w:sz w:val="18"/>
                <w:szCs w:val="18"/>
              </w:rPr>
            </w:pPr>
          </w:p>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22"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8"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22" w:type="dxa"/>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应急管理</w:t>
            </w:r>
            <w:r>
              <w:rPr>
                <w:rFonts w:hint="eastAsia" w:ascii="仿宋_GB2312" w:eastAsia="仿宋_GB2312"/>
                <w:sz w:val="18"/>
                <w:szCs w:val="18"/>
                <w:lang w:eastAsia="zh-CN"/>
              </w:rPr>
              <w:t>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03C73"/>
    <w:rsid w:val="4F8F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2020-09-07T08:21:00Z</dcterms:created>
  <dc:creator>adsl</dc:creator>
  <cp:lastModifiedBy>Administrator</cp:lastModifiedBy>
  <dcterms:modified xsi:type="dcterms:W3CDTF">2020-12-21T06:10:04Z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