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57" w:rsidRDefault="00517657" w:rsidP="00517657">
      <w:pPr>
        <w:pStyle w:val="2"/>
        <w:spacing w:after="0" w:line="560" w:lineRule="exact"/>
        <w:ind w:leftChars="0" w:left="0" w:firstLineChars="0" w:firstLine="0"/>
        <w:rPr>
          <w:rFonts w:ascii="黑体" w:eastAsia="黑体" w:hAnsi="黑体" w:cs="黑体" w:hint="eastAsia"/>
          <w:szCs w:val="32"/>
        </w:rPr>
      </w:pPr>
      <w:r>
        <w:rPr>
          <w:rFonts w:ascii="黑体" w:eastAsia="黑体" w:hAnsi="黑体" w:cs="黑体" w:hint="eastAsia"/>
          <w:szCs w:val="32"/>
        </w:rPr>
        <w:t>附件：</w:t>
      </w:r>
    </w:p>
    <w:p w:rsidR="00517657" w:rsidRDefault="00517657" w:rsidP="00517657">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洮南市自然资源局重大行政执法决定法制审核目录清单</w:t>
      </w:r>
    </w:p>
    <w:p w:rsidR="00517657" w:rsidRDefault="00517657" w:rsidP="00517657">
      <w:pPr>
        <w:spacing w:line="240" w:lineRule="exact"/>
        <w:rPr>
          <w:rFonts w:hint="eastAsia"/>
        </w:rPr>
      </w:pPr>
    </w:p>
    <w:tbl>
      <w:tblPr>
        <w:tblW w:w="1452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984"/>
        <w:gridCol w:w="1188"/>
        <w:gridCol w:w="3768"/>
        <w:gridCol w:w="3888"/>
        <w:gridCol w:w="2628"/>
        <w:gridCol w:w="996"/>
        <w:gridCol w:w="403"/>
      </w:tblGrid>
      <w:tr w:rsidR="00517657" w:rsidTr="00481A13">
        <w:trPr>
          <w:trHeight w:val="70"/>
          <w:tblHeader/>
        </w:trPr>
        <w:tc>
          <w:tcPr>
            <w:tcW w:w="672"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序号</w:t>
            </w:r>
          </w:p>
        </w:tc>
        <w:tc>
          <w:tcPr>
            <w:tcW w:w="984"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行政执</w:t>
            </w:r>
          </w:p>
          <w:p w:rsidR="00517657" w:rsidRDefault="00517657" w:rsidP="00481A13">
            <w:pPr>
              <w:jc w:val="center"/>
              <w:rPr>
                <w:rFonts w:ascii="宋体" w:hAnsi="宋体" w:cs="宋体" w:hint="eastAsia"/>
                <w:b/>
                <w:bCs/>
                <w:sz w:val="24"/>
              </w:rPr>
            </w:pPr>
            <w:r>
              <w:rPr>
                <w:rFonts w:ascii="宋体" w:hAnsi="宋体" w:cs="宋体" w:hint="eastAsia"/>
                <w:b/>
                <w:bCs/>
                <w:sz w:val="24"/>
              </w:rPr>
              <w:t>法类别</w:t>
            </w:r>
          </w:p>
        </w:tc>
        <w:tc>
          <w:tcPr>
            <w:tcW w:w="1188"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审核事项名称</w:t>
            </w:r>
          </w:p>
        </w:tc>
        <w:tc>
          <w:tcPr>
            <w:tcW w:w="3768"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适用于审核的情形</w:t>
            </w:r>
          </w:p>
        </w:tc>
        <w:tc>
          <w:tcPr>
            <w:tcW w:w="3888"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审核要素</w:t>
            </w:r>
          </w:p>
        </w:tc>
        <w:tc>
          <w:tcPr>
            <w:tcW w:w="2628"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提交材料</w:t>
            </w:r>
          </w:p>
        </w:tc>
        <w:tc>
          <w:tcPr>
            <w:tcW w:w="996"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提交</w:t>
            </w:r>
          </w:p>
          <w:p w:rsidR="00517657" w:rsidRDefault="00517657" w:rsidP="00481A13">
            <w:pPr>
              <w:jc w:val="center"/>
              <w:rPr>
                <w:rFonts w:ascii="宋体" w:hAnsi="宋体" w:cs="宋体" w:hint="eastAsia"/>
                <w:b/>
                <w:bCs/>
                <w:sz w:val="24"/>
              </w:rPr>
            </w:pPr>
            <w:r>
              <w:rPr>
                <w:rFonts w:ascii="宋体" w:hAnsi="宋体" w:cs="宋体" w:hint="eastAsia"/>
                <w:b/>
                <w:bCs/>
                <w:sz w:val="24"/>
              </w:rPr>
              <w:t>部门</w:t>
            </w:r>
          </w:p>
        </w:tc>
        <w:tc>
          <w:tcPr>
            <w:tcW w:w="403" w:type="dxa"/>
            <w:vAlign w:val="center"/>
          </w:tcPr>
          <w:p w:rsidR="00517657" w:rsidRDefault="00517657" w:rsidP="00481A13">
            <w:pPr>
              <w:jc w:val="center"/>
              <w:rPr>
                <w:rFonts w:ascii="宋体" w:hAnsi="宋体" w:cs="宋体" w:hint="eastAsia"/>
                <w:b/>
                <w:bCs/>
                <w:sz w:val="24"/>
              </w:rPr>
            </w:pPr>
            <w:r>
              <w:rPr>
                <w:rFonts w:ascii="宋体" w:hAnsi="宋体" w:cs="宋体" w:hint="eastAsia"/>
                <w:b/>
                <w:bCs/>
                <w:sz w:val="24"/>
              </w:rPr>
              <w:t>备注</w:t>
            </w:r>
          </w:p>
        </w:tc>
      </w:tr>
      <w:tr w:rsidR="00517657" w:rsidTr="00481A13">
        <w:trPr>
          <w:trHeight w:val="1894"/>
        </w:trPr>
        <w:tc>
          <w:tcPr>
            <w:tcW w:w="672"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1</w:t>
            </w:r>
          </w:p>
        </w:tc>
        <w:tc>
          <w:tcPr>
            <w:tcW w:w="984" w:type="dxa"/>
            <w:vMerge w:val="restart"/>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重大</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行政</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许可</w:t>
            </w:r>
          </w:p>
        </w:tc>
        <w:tc>
          <w:tcPr>
            <w:tcW w:w="11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开采矿产资源划定矿区范围批准</w:t>
            </w:r>
          </w:p>
        </w:tc>
        <w:tc>
          <w:tcPr>
            <w:tcW w:w="3768" w:type="dxa"/>
            <w:vMerge w:val="restart"/>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1.拟作出涉及重大公共利益、可能造成重大社会影响或引发社会风险行政许可决定的；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2.拟作出许可直接关系行政相对人或第三人重大权益，申请人、利害关系人要求听证的；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3.拟作出撤销或注销行政许可决定的；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4.经行政复议、行政诉讼后重新作出行政许可决定的；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5.法律、法规、规章规定应当进行法制审核的。</w:t>
            </w:r>
          </w:p>
        </w:tc>
        <w:tc>
          <w:tcPr>
            <w:tcW w:w="3888" w:type="dxa"/>
            <w:vMerge w:val="restart"/>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1.认定事实是否清楚；</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2.申请材料是否完整；</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3.行政程序是否合法；</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4.适用法律法规规章是否准确；</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5.裁量基准运用是否适当；</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6.行政许可决定是否规范完备；</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7.是否有超越职权范围或滥用职权情形；</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8.涉及第三人的，是否充分听取了利害关系人陈述申辩；</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9.涉及复议诉讼的，是否按照行政复议决定或行政诉讼判决书要求进行修改。</w:t>
            </w:r>
          </w:p>
        </w:tc>
        <w:tc>
          <w:tcPr>
            <w:tcW w:w="2628" w:type="dxa"/>
            <w:vMerge w:val="restart"/>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1.行政许可有关情况说明；</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2.行政相对人报送的申请材料；</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3.拟作出行政许可所依据的法律法规规章及规范性文件等依据材料；</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4.审核人员审核意见；</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5.行政许可决定代拟稿；</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6.经听证或评估的，应提交听证笔录、评估报告；</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7.其他需要提交的材料。</w:t>
            </w:r>
          </w:p>
        </w:tc>
        <w:tc>
          <w:tcPr>
            <w:tcW w:w="996" w:type="dxa"/>
            <w:vAlign w:val="center"/>
          </w:tcPr>
          <w:p w:rsidR="00517657" w:rsidRDefault="00517657" w:rsidP="00481A13">
            <w:pPr>
              <w:spacing w:line="240" w:lineRule="exact"/>
              <w:jc w:val="left"/>
              <w:rPr>
                <w:rFonts w:ascii="宋体" w:hAnsi="宋体" w:cs="宋体" w:hint="eastAsia"/>
                <w:sz w:val="18"/>
                <w:szCs w:val="18"/>
              </w:rPr>
            </w:pPr>
            <w:r>
              <w:rPr>
                <w:rFonts w:ascii="宋体" w:hAnsi="宋体" w:cs="宋体" w:hint="eastAsia"/>
                <w:sz w:val="18"/>
                <w:szCs w:val="18"/>
              </w:rPr>
              <w:t>国土空间利用、生态修复科，国土空间规划耕地保护科，城乡规划管理科，    开发利用一科、二科。</w:t>
            </w:r>
          </w:p>
        </w:tc>
        <w:tc>
          <w:tcPr>
            <w:tcW w:w="403" w:type="dxa"/>
            <w:vAlign w:val="center"/>
          </w:tcPr>
          <w:p w:rsidR="00517657" w:rsidRDefault="00517657" w:rsidP="00481A13">
            <w:pPr>
              <w:spacing w:line="280" w:lineRule="exact"/>
              <w:rPr>
                <w:rFonts w:ascii="宋体" w:hAnsi="宋体" w:cs="宋体" w:hint="eastAsia"/>
                <w:sz w:val="18"/>
                <w:szCs w:val="18"/>
              </w:rPr>
            </w:pPr>
          </w:p>
        </w:tc>
      </w:tr>
      <w:tr w:rsidR="00517657" w:rsidTr="00481A13">
        <w:trPr>
          <w:trHeight w:val="1060"/>
        </w:trPr>
        <w:tc>
          <w:tcPr>
            <w:tcW w:w="672"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2</w:t>
            </w:r>
          </w:p>
        </w:tc>
        <w:tc>
          <w:tcPr>
            <w:tcW w:w="984" w:type="dxa"/>
            <w:vMerge/>
            <w:vAlign w:val="center"/>
          </w:tcPr>
          <w:p w:rsidR="00517657" w:rsidRDefault="00517657" w:rsidP="00481A13">
            <w:pPr>
              <w:spacing w:line="240" w:lineRule="exact"/>
              <w:jc w:val="center"/>
              <w:rPr>
                <w:rFonts w:ascii="宋体" w:hAnsi="宋体" w:cs="宋体" w:hint="eastAsia"/>
                <w:sz w:val="18"/>
                <w:szCs w:val="18"/>
              </w:rPr>
            </w:pPr>
          </w:p>
        </w:tc>
        <w:tc>
          <w:tcPr>
            <w:tcW w:w="11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测绘地理信息行业资质、资格审查认定</w:t>
            </w:r>
          </w:p>
        </w:tc>
        <w:tc>
          <w:tcPr>
            <w:tcW w:w="3768" w:type="dxa"/>
            <w:vMerge/>
            <w:vAlign w:val="center"/>
          </w:tcPr>
          <w:p w:rsidR="00517657" w:rsidRDefault="00517657" w:rsidP="00481A13">
            <w:pPr>
              <w:spacing w:line="240" w:lineRule="exact"/>
              <w:rPr>
                <w:rFonts w:ascii="宋体" w:hAnsi="宋体" w:cs="宋体" w:hint="eastAsia"/>
                <w:sz w:val="18"/>
                <w:szCs w:val="18"/>
              </w:rPr>
            </w:pPr>
          </w:p>
        </w:tc>
        <w:tc>
          <w:tcPr>
            <w:tcW w:w="3888" w:type="dxa"/>
            <w:vMerge/>
            <w:vAlign w:val="center"/>
          </w:tcPr>
          <w:p w:rsidR="00517657" w:rsidRDefault="00517657" w:rsidP="00481A13">
            <w:pPr>
              <w:spacing w:line="240" w:lineRule="exact"/>
              <w:rPr>
                <w:rFonts w:ascii="宋体" w:hAnsi="宋体" w:cs="宋体" w:hint="eastAsia"/>
                <w:sz w:val="18"/>
                <w:szCs w:val="18"/>
              </w:rPr>
            </w:pPr>
          </w:p>
        </w:tc>
        <w:tc>
          <w:tcPr>
            <w:tcW w:w="2628" w:type="dxa"/>
            <w:vMerge/>
            <w:vAlign w:val="center"/>
          </w:tcPr>
          <w:p w:rsidR="00517657" w:rsidRDefault="00517657" w:rsidP="00481A13">
            <w:pPr>
              <w:spacing w:line="240" w:lineRule="exact"/>
              <w:rPr>
                <w:rFonts w:ascii="宋体" w:hAnsi="宋体" w:cs="宋体" w:hint="eastAsia"/>
                <w:sz w:val="18"/>
                <w:szCs w:val="18"/>
              </w:rPr>
            </w:pPr>
          </w:p>
        </w:tc>
        <w:tc>
          <w:tcPr>
            <w:tcW w:w="996" w:type="dxa"/>
            <w:vAlign w:val="center"/>
          </w:tcPr>
          <w:p w:rsidR="00517657" w:rsidRDefault="00517657" w:rsidP="00481A13">
            <w:pPr>
              <w:spacing w:line="240" w:lineRule="exact"/>
              <w:jc w:val="left"/>
              <w:rPr>
                <w:rFonts w:ascii="宋体" w:hAnsi="宋体" w:cs="宋体" w:hint="eastAsia"/>
                <w:sz w:val="18"/>
                <w:szCs w:val="18"/>
              </w:rPr>
            </w:pPr>
            <w:r>
              <w:rPr>
                <w:rFonts w:ascii="宋体" w:hAnsi="宋体" w:cs="宋体" w:hint="eastAsia"/>
                <w:sz w:val="18"/>
                <w:szCs w:val="18"/>
              </w:rPr>
              <w:t>测绘和地理信息管理科</w:t>
            </w:r>
          </w:p>
          <w:p w:rsidR="00517657" w:rsidRDefault="00517657" w:rsidP="00481A13">
            <w:pPr>
              <w:spacing w:line="240" w:lineRule="exact"/>
              <w:jc w:val="left"/>
              <w:rPr>
                <w:rFonts w:ascii="宋体" w:hAnsi="宋体" w:cs="宋体" w:hint="eastAsia"/>
                <w:sz w:val="18"/>
                <w:szCs w:val="18"/>
              </w:rPr>
            </w:pPr>
          </w:p>
          <w:p w:rsidR="00517657" w:rsidRDefault="00517657" w:rsidP="00481A13">
            <w:pPr>
              <w:spacing w:line="240" w:lineRule="exact"/>
              <w:jc w:val="left"/>
              <w:rPr>
                <w:rFonts w:ascii="宋体" w:hAnsi="宋体" w:cs="宋体" w:hint="eastAsia"/>
                <w:sz w:val="18"/>
                <w:szCs w:val="18"/>
              </w:rPr>
            </w:pPr>
          </w:p>
        </w:tc>
        <w:tc>
          <w:tcPr>
            <w:tcW w:w="403" w:type="dxa"/>
            <w:vAlign w:val="center"/>
          </w:tcPr>
          <w:p w:rsidR="00517657" w:rsidRDefault="00517657" w:rsidP="00481A13">
            <w:pPr>
              <w:spacing w:line="280" w:lineRule="exact"/>
              <w:rPr>
                <w:rFonts w:ascii="宋体" w:hAnsi="宋体" w:cs="宋体" w:hint="eastAsia"/>
                <w:sz w:val="18"/>
                <w:szCs w:val="18"/>
              </w:rPr>
            </w:pPr>
          </w:p>
        </w:tc>
      </w:tr>
      <w:tr w:rsidR="00517657" w:rsidTr="00481A13">
        <w:trPr>
          <w:trHeight w:val="3550"/>
        </w:trPr>
        <w:tc>
          <w:tcPr>
            <w:tcW w:w="672"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3</w:t>
            </w:r>
          </w:p>
        </w:tc>
        <w:tc>
          <w:tcPr>
            <w:tcW w:w="984"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重大</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行政</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处罚</w:t>
            </w:r>
          </w:p>
        </w:tc>
        <w:tc>
          <w:tcPr>
            <w:tcW w:w="11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对违反土地、矿产资源、地质灾害防治、测绘等法律、法规、规章行为的处罚</w:t>
            </w:r>
          </w:p>
        </w:tc>
        <w:tc>
          <w:tcPr>
            <w:tcW w:w="376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1.拟作出罚款以及没收违法所得、矿产品、测绘成果等行政处罚决定的；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2.拟作出没收违法建筑物、限期拆除违法建筑物和其他设施行政处罚决定的；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3.拟作出吊销采矿许可证行政处罚的；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4.涉嫌犯罪需要移送的；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5.经行政复议、行政诉讼后重新作出行政处罚决定的；</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6.拟作出其他重大、复杂、疑难行政处罚决定的。</w:t>
            </w:r>
          </w:p>
        </w:tc>
        <w:tc>
          <w:tcPr>
            <w:tcW w:w="38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1.行政执法主体是否合格；</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2.行政执法人员是否具备执法资格；</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3.是否超越本机关执法权限；</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4.认定事实是否清楚；</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5.证据是否确实充分；</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6.适用法律法规规章是否准确；</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7.行政执法程序是否合法；</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8.裁量基准运用是否适当；</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9.行政执法文书是否规范完备；</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10.违法行为是否涉嫌犯罪，需要移送司法机关等；</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11.涉及复议诉讼的，是否按照行政复议决定书或行政诉讼裁判文书要求重新作出行政处罚决定。</w:t>
            </w:r>
          </w:p>
        </w:tc>
        <w:tc>
          <w:tcPr>
            <w:tcW w:w="262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1.行政处罚全部案卷材料；</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2.行政处罚决定书代拟稿；</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3.拟作出行政处罚决定所依据的法律法规规章等；</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4.经听证的，应提交听证笔录；</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5.涉及复议诉讼的，提交行政复议决定书或行政诉讼判决书、裁定书；</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6.其他需要提交的材料。</w:t>
            </w:r>
          </w:p>
        </w:tc>
        <w:tc>
          <w:tcPr>
            <w:tcW w:w="996" w:type="dxa"/>
            <w:vAlign w:val="center"/>
          </w:tcPr>
          <w:p w:rsidR="00517657" w:rsidRDefault="00517657" w:rsidP="00481A13">
            <w:pPr>
              <w:spacing w:line="240" w:lineRule="exact"/>
              <w:jc w:val="left"/>
              <w:rPr>
                <w:rFonts w:ascii="宋体" w:hAnsi="宋体" w:cs="宋体" w:hint="eastAsia"/>
                <w:sz w:val="18"/>
                <w:szCs w:val="18"/>
              </w:rPr>
            </w:pPr>
            <w:r>
              <w:rPr>
                <w:rFonts w:ascii="宋体" w:hAnsi="宋体" w:cs="宋体" w:hint="eastAsia"/>
                <w:sz w:val="18"/>
                <w:szCs w:val="18"/>
              </w:rPr>
              <w:t>监察大队、测绘和地理信息管理科</w:t>
            </w:r>
          </w:p>
          <w:p w:rsidR="00517657" w:rsidRDefault="00517657" w:rsidP="00481A13">
            <w:pPr>
              <w:spacing w:line="240" w:lineRule="exact"/>
              <w:jc w:val="left"/>
              <w:rPr>
                <w:rFonts w:ascii="宋体" w:hAnsi="宋体" w:cs="宋体" w:hint="eastAsia"/>
                <w:sz w:val="18"/>
                <w:szCs w:val="18"/>
              </w:rPr>
            </w:pPr>
          </w:p>
          <w:p w:rsidR="00517657" w:rsidRDefault="00517657" w:rsidP="00481A13">
            <w:pPr>
              <w:spacing w:line="240" w:lineRule="exact"/>
              <w:jc w:val="left"/>
              <w:rPr>
                <w:rFonts w:ascii="宋体" w:hAnsi="宋体" w:cs="宋体" w:hint="eastAsia"/>
                <w:sz w:val="18"/>
                <w:szCs w:val="18"/>
              </w:rPr>
            </w:pPr>
          </w:p>
        </w:tc>
        <w:tc>
          <w:tcPr>
            <w:tcW w:w="403" w:type="dxa"/>
            <w:vAlign w:val="center"/>
          </w:tcPr>
          <w:p w:rsidR="00517657" w:rsidRDefault="00517657" w:rsidP="00481A13">
            <w:pPr>
              <w:spacing w:line="280" w:lineRule="exact"/>
              <w:rPr>
                <w:rFonts w:ascii="宋体" w:hAnsi="宋体" w:cs="宋体" w:hint="eastAsia"/>
                <w:sz w:val="18"/>
                <w:szCs w:val="18"/>
              </w:rPr>
            </w:pPr>
          </w:p>
        </w:tc>
      </w:tr>
      <w:tr w:rsidR="00517657" w:rsidTr="00481A13">
        <w:trPr>
          <w:trHeight w:val="1714"/>
        </w:trPr>
        <w:tc>
          <w:tcPr>
            <w:tcW w:w="672"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lastRenderedPageBreak/>
              <w:t>4</w:t>
            </w:r>
          </w:p>
        </w:tc>
        <w:tc>
          <w:tcPr>
            <w:tcW w:w="984" w:type="dxa"/>
            <w:vMerge w:val="restart"/>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重大</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行政</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征收</w:t>
            </w:r>
          </w:p>
        </w:tc>
        <w:tc>
          <w:tcPr>
            <w:tcW w:w="11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矿业权使用费征收</w:t>
            </w:r>
          </w:p>
        </w:tc>
        <w:tc>
          <w:tcPr>
            <w:tcW w:w="3768" w:type="dxa"/>
            <w:vMerge w:val="restart"/>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1.相对人对征收金额、征收程序等提出异议的；</w:t>
            </w:r>
            <w:r>
              <w:rPr>
                <w:rFonts w:ascii="宋体" w:hAnsi="宋体" w:cs="宋体" w:hint="eastAsia"/>
                <w:sz w:val="18"/>
                <w:szCs w:val="18"/>
              </w:rPr>
              <w:br/>
              <w:t>2.拟作出的其他重大、复杂、疑难行政征收。</w:t>
            </w:r>
          </w:p>
        </w:tc>
        <w:tc>
          <w:tcPr>
            <w:tcW w:w="3888" w:type="dxa"/>
            <w:vMerge w:val="restart"/>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1.是否属于本机关职权范围；</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2.认定事实是否清楚；</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3.行政征收程序是否合法；</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4.适用法律法规规章是否准确；</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5.行政征收文书是否规范完备；</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6.其他需要审核的内容。</w:t>
            </w:r>
          </w:p>
        </w:tc>
        <w:tc>
          <w:tcPr>
            <w:tcW w:w="2628" w:type="dxa"/>
            <w:vMerge w:val="restart"/>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1.行政征收有关情况说明；</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2.拟作出行政许可所依据的法律法规规章及规范性文件等依据材料；</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3.初步审核意见；</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4.行政许可决定代拟稿；</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5.经听证的，应提交听证笔录；</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6.其他需要提交的材料。</w:t>
            </w:r>
          </w:p>
        </w:tc>
        <w:tc>
          <w:tcPr>
            <w:tcW w:w="996" w:type="dxa"/>
            <w:vMerge w:val="restart"/>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国土空间利用、生态修复科，国土空间规划耕地保护科，城乡规划管理科，    开发利用一科、二科。</w:t>
            </w:r>
          </w:p>
        </w:tc>
        <w:tc>
          <w:tcPr>
            <w:tcW w:w="403" w:type="dxa"/>
            <w:vAlign w:val="center"/>
          </w:tcPr>
          <w:p w:rsidR="00517657" w:rsidRDefault="00517657" w:rsidP="00481A13">
            <w:pPr>
              <w:spacing w:line="280" w:lineRule="exact"/>
              <w:rPr>
                <w:rFonts w:ascii="宋体" w:hAnsi="宋体" w:cs="宋体" w:hint="eastAsia"/>
                <w:sz w:val="18"/>
                <w:szCs w:val="18"/>
              </w:rPr>
            </w:pPr>
          </w:p>
        </w:tc>
      </w:tr>
      <w:tr w:rsidR="00517657" w:rsidTr="00481A13">
        <w:trPr>
          <w:trHeight w:val="70"/>
        </w:trPr>
        <w:tc>
          <w:tcPr>
            <w:tcW w:w="672"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5</w:t>
            </w:r>
          </w:p>
        </w:tc>
        <w:tc>
          <w:tcPr>
            <w:tcW w:w="984" w:type="dxa"/>
            <w:vMerge/>
            <w:vAlign w:val="center"/>
          </w:tcPr>
          <w:p w:rsidR="00517657" w:rsidRDefault="00517657" w:rsidP="00481A13">
            <w:pPr>
              <w:spacing w:line="240" w:lineRule="exact"/>
              <w:jc w:val="center"/>
              <w:rPr>
                <w:rFonts w:ascii="宋体" w:hAnsi="宋体" w:cs="宋体" w:hint="eastAsia"/>
                <w:sz w:val="18"/>
                <w:szCs w:val="18"/>
              </w:rPr>
            </w:pPr>
          </w:p>
        </w:tc>
        <w:tc>
          <w:tcPr>
            <w:tcW w:w="11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矿业权出让收益征收</w:t>
            </w:r>
          </w:p>
        </w:tc>
        <w:tc>
          <w:tcPr>
            <w:tcW w:w="3768" w:type="dxa"/>
            <w:vMerge/>
            <w:vAlign w:val="center"/>
          </w:tcPr>
          <w:p w:rsidR="00517657" w:rsidRDefault="00517657" w:rsidP="00481A13">
            <w:pPr>
              <w:spacing w:line="240" w:lineRule="exact"/>
              <w:rPr>
                <w:rFonts w:ascii="宋体" w:hAnsi="宋体" w:cs="宋体" w:hint="eastAsia"/>
                <w:sz w:val="18"/>
                <w:szCs w:val="18"/>
              </w:rPr>
            </w:pPr>
          </w:p>
        </w:tc>
        <w:tc>
          <w:tcPr>
            <w:tcW w:w="3888" w:type="dxa"/>
            <w:vMerge/>
            <w:vAlign w:val="center"/>
          </w:tcPr>
          <w:p w:rsidR="00517657" w:rsidRDefault="00517657" w:rsidP="00481A13">
            <w:pPr>
              <w:spacing w:line="240" w:lineRule="exact"/>
              <w:rPr>
                <w:rFonts w:ascii="宋体" w:hAnsi="宋体" w:cs="宋体" w:hint="eastAsia"/>
                <w:sz w:val="18"/>
                <w:szCs w:val="18"/>
              </w:rPr>
            </w:pPr>
          </w:p>
        </w:tc>
        <w:tc>
          <w:tcPr>
            <w:tcW w:w="2628" w:type="dxa"/>
            <w:vMerge/>
            <w:vAlign w:val="center"/>
          </w:tcPr>
          <w:p w:rsidR="00517657" w:rsidRDefault="00517657" w:rsidP="00481A13">
            <w:pPr>
              <w:spacing w:line="240" w:lineRule="exact"/>
              <w:rPr>
                <w:rFonts w:ascii="宋体" w:hAnsi="宋体" w:cs="宋体" w:hint="eastAsia"/>
                <w:sz w:val="18"/>
                <w:szCs w:val="18"/>
              </w:rPr>
            </w:pPr>
          </w:p>
        </w:tc>
        <w:tc>
          <w:tcPr>
            <w:tcW w:w="996" w:type="dxa"/>
            <w:vMerge/>
            <w:vAlign w:val="center"/>
          </w:tcPr>
          <w:p w:rsidR="00517657" w:rsidRDefault="00517657" w:rsidP="00481A13">
            <w:pPr>
              <w:spacing w:line="240" w:lineRule="exact"/>
              <w:rPr>
                <w:rFonts w:ascii="宋体" w:hAnsi="宋体" w:cs="宋体" w:hint="eastAsia"/>
                <w:sz w:val="18"/>
                <w:szCs w:val="18"/>
              </w:rPr>
            </w:pPr>
          </w:p>
        </w:tc>
        <w:tc>
          <w:tcPr>
            <w:tcW w:w="403" w:type="dxa"/>
            <w:vAlign w:val="center"/>
          </w:tcPr>
          <w:p w:rsidR="00517657" w:rsidRDefault="00517657" w:rsidP="00481A13">
            <w:pPr>
              <w:spacing w:line="280" w:lineRule="exact"/>
              <w:rPr>
                <w:rFonts w:ascii="宋体" w:hAnsi="宋体" w:cs="宋体" w:hint="eastAsia"/>
                <w:sz w:val="18"/>
                <w:szCs w:val="18"/>
              </w:rPr>
            </w:pPr>
          </w:p>
        </w:tc>
      </w:tr>
      <w:tr w:rsidR="00517657" w:rsidTr="00481A13">
        <w:trPr>
          <w:trHeight w:val="70"/>
        </w:trPr>
        <w:tc>
          <w:tcPr>
            <w:tcW w:w="672"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6</w:t>
            </w:r>
          </w:p>
        </w:tc>
        <w:tc>
          <w:tcPr>
            <w:tcW w:w="984" w:type="dxa"/>
            <w:vAlign w:val="center"/>
          </w:tcPr>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其他</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重大</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行政</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执法</w:t>
            </w:r>
          </w:p>
          <w:p w:rsidR="00517657" w:rsidRDefault="00517657" w:rsidP="00481A13">
            <w:pPr>
              <w:spacing w:line="240" w:lineRule="exact"/>
              <w:jc w:val="center"/>
              <w:rPr>
                <w:rFonts w:ascii="宋体" w:hAnsi="宋体" w:cs="宋体" w:hint="eastAsia"/>
                <w:sz w:val="18"/>
                <w:szCs w:val="18"/>
              </w:rPr>
            </w:pPr>
            <w:r>
              <w:rPr>
                <w:rFonts w:ascii="宋体" w:hAnsi="宋体" w:cs="宋体" w:hint="eastAsia"/>
                <w:sz w:val="18"/>
                <w:szCs w:val="18"/>
              </w:rPr>
              <w:t>决定</w:t>
            </w:r>
          </w:p>
        </w:tc>
        <w:tc>
          <w:tcPr>
            <w:tcW w:w="11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w:t>
            </w:r>
          </w:p>
        </w:tc>
        <w:tc>
          <w:tcPr>
            <w:tcW w:w="376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1.涉及公共安全、公共秩序等重大公共利益的其他行政执法决定；</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2.社会关注度高、可能造成重大社会影响的其他行政执法决定；</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3.情况疑难复杂、涉及多个法律关系的行政执法决定；</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4.法律、法规、规章或者规范性文件规定应当进行法制审核的其他行政执法决定。</w:t>
            </w:r>
          </w:p>
        </w:tc>
        <w:tc>
          <w:tcPr>
            <w:tcW w:w="388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1.是否属于本机关职权范围；</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2.认定事实是否清楚；</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3.证据是否确实充分；</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4.行政执法程序是否合法；</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5.适用法律法规规章是否准确；</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6.行政执法文书是否规范完备；</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7.其他需要审核的内容。</w:t>
            </w:r>
          </w:p>
        </w:tc>
        <w:tc>
          <w:tcPr>
            <w:tcW w:w="2628"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1.行政执法决定情况说明；</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2.拟作出的重大行政执法决定文本；</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3.拟作出行政执法决定所依据的法律法规规章及规范性文件等依据材料；</w:t>
            </w:r>
          </w:p>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4.其他需要提交的材料。</w:t>
            </w:r>
          </w:p>
        </w:tc>
        <w:tc>
          <w:tcPr>
            <w:tcW w:w="996" w:type="dxa"/>
            <w:vAlign w:val="center"/>
          </w:tcPr>
          <w:p w:rsidR="00517657" w:rsidRDefault="00517657" w:rsidP="00481A13">
            <w:pPr>
              <w:spacing w:line="240" w:lineRule="exact"/>
              <w:rPr>
                <w:rFonts w:ascii="宋体" w:hAnsi="宋体" w:cs="宋体" w:hint="eastAsia"/>
                <w:sz w:val="18"/>
                <w:szCs w:val="18"/>
              </w:rPr>
            </w:pPr>
            <w:r>
              <w:rPr>
                <w:rFonts w:ascii="宋体" w:hAnsi="宋体" w:cs="宋体" w:hint="eastAsia"/>
                <w:sz w:val="18"/>
                <w:szCs w:val="18"/>
              </w:rPr>
              <w:t>相关科室 （单位）</w:t>
            </w:r>
          </w:p>
        </w:tc>
        <w:tc>
          <w:tcPr>
            <w:tcW w:w="403" w:type="dxa"/>
            <w:vAlign w:val="center"/>
          </w:tcPr>
          <w:p w:rsidR="00517657" w:rsidRDefault="00517657" w:rsidP="00481A13">
            <w:pPr>
              <w:spacing w:line="280" w:lineRule="exact"/>
              <w:rPr>
                <w:rFonts w:ascii="宋体" w:hAnsi="宋体" w:cs="宋体" w:hint="eastAsia"/>
                <w:sz w:val="18"/>
                <w:szCs w:val="18"/>
              </w:rPr>
            </w:pPr>
          </w:p>
        </w:tc>
      </w:tr>
    </w:tbl>
    <w:p w:rsidR="00D909D4" w:rsidRDefault="00D909D4"/>
    <w:sectPr w:rsidR="00D909D4" w:rsidSect="0051765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9D4" w:rsidRDefault="00D909D4" w:rsidP="00517657">
      <w:r>
        <w:separator/>
      </w:r>
    </w:p>
  </w:endnote>
  <w:endnote w:type="continuationSeparator" w:id="1">
    <w:p w:rsidR="00D909D4" w:rsidRDefault="00D909D4" w:rsidP="005176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9D4" w:rsidRDefault="00D909D4" w:rsidP="00517657">
      <w:r>
        <w:separator/>
      </w:r>
    </w:p>
  </w:footnote>
  <w:footnote w:type="continuationSeparator" w:id="1">
    <w:p w:rsidR="00D909D4" w:rsidRDefault="00D909D4" w:rsidP="005176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657"/>
    <w:rsid w:val="00517657"/>
    <w:rsid w:val="00D90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1765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6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7657"/>
    <w:rPr>
      <w:sz w:val="18"/>
      <w:szCs w:val="18"/>
    </w:rPr>
  </w:style>
  <w:style w:type="paragraph" w:styleId="a4">
    <w:name w:val="footer"/>
    <w:basedOn w:val="a"/>
    <w:link w:val="Char0"/>
    <w:uiPriority w:val="99"/>
    <w:semiHidden/>
    <w:unhideWhenUsed/>
    <w:rsid w:val="005176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7657"/>
    <w:rPr>
      <w:sz w:val="18"/>
      <w:szCs w:val="18"/>
    </w:rPr>
  </w:style>
  <w:style w:type="paragraph" w:styleId="a5">
    <w:name w:val="Body Text Indent"/>
    <w:basedOn w:val="a"/>
    <w:link w:val="Char1"/>
    <w:uiPriority w:val="99"/>
    <w:semiHidden/>
    <w:unhideWhenUsed/>
    <w:rsid w:val="00517657"/>
    <w:pPr>
      <w:spacing w:after="120"/>
      <w:ind w:leftChars="200" w:left="420"/>
    </w:pPr>
  </w:style>
  <w:style w:type="character" w:customStyle="1" w:styleId="Char1">
    <w:name w:val="正文文本缩进 Char"/>
    <w:basedOn w:val="a0"/>
    <w:link w:val="a5"/>
    <w:uiPriority w:val="99"/>
    <w:semiHidden/>
    <w:rsid w:val="00517657"/>
    <w:rPr>
      <w:rFonts w:ascii="Calibri" w:eastAsia="宋体" w:hAnsi="Calibri" w:cs="Times New Roman"/>
      <w:szCs w:val="24"/>
    </w:rPr>
  </w:style>
  <w:style w:type="paragraph" w:styleId="2">
    <w:name w:val="Body Text First Indent 2"/>
    <w:basedOn w:val="a5"/>
    <w:link w:val="2Char"/>
    <w:rsid w:val="00517657"/>
    <w:pPr>
      <w:ind w:firstLineChars="200" w:firstLine="420"/>
    </w:pPr>
    <w:rPr>
      <w:rFonts w:ascii="Times New Roman" w:eastAsia="仿宋_GB2312"/>
      <w:sz w:val="32"/>
    </w:rPr>
  </w:style>
  <w:style w:type="character" w:customStyle="1" w:styleId="2Char">
    <w:name w:val="正文首行缩进 2 Char"/>
    <w:basedOn w:val="Char1"/>
    <w:link w:val="2"/>
    <w:rsid w:val="00517657"/>
    <w:rPr>
      <w:rFonts w:ascii="Times New Roman"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Company>微软中国</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2023-10-17T01:57:00Z</dcterms:created>
  <dcterms:modified xsi:type="dcterms:W3CDTF">2023-10-17T01:58:00Z</dcterms:modified>
</cp:coreProperties>
</file>