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 w:hAnsi="宋体"/>
          <w:b/>
          <w:bCs/>
          <w:sz w:val="44"/>
          <w:szCs w:val="44"/>
        </w:rPr>
        <w:t>洮南市县域商业建设行动工作</w:t>
      </w:r>
      <w:r>
        <w:rPr>
          <w:rFonts w:hint="eastAsia" w:ascii="宋体" w:hAnsi="宋体"/>
          <w:b/>
          <w:bCs/>
          <w:sz w:val="44"/>
          <w:szCs w:val="44"/>
          <w:lang w:val="en-US" w:eastAsia="zh-CN"/>
        </w:rPr>
        <w:t>实施</w:t>
      </w:r>
      <w:r>
        <w:rPr>
          <w:rFonts w:hint="eastAsia" w:ascii="宋体" w:hAnsi="宋体"/>
          <w:b/>
          <w:bCs/>
          <w:sz w:val="44"/>
          <w:szCs w:val="44"/>
        </w:rPr>
        <w:t>方案</w:t>
      </w:r>
    </w:p>
    <w:p>
      <w:r>
        <w:t xml:space="preserve"> </w:t>
      </w:r>
    </w:p>
    <w:p>
      <w:pPr>
        <w:pageBreakBefore w:val="0"/>
        <w:widowControl w:val="0"/>
        <w:kinsoku/>
        <w:wordWrap/>
        <w:overflowPunct/>
        <w:topLinePunct w:val="0"/>
        <w:autoSpaceDE w:val="0"/>
        <w:autoSpaceDN w:val="0"/>
        <w:bidi w:val="0"/>
        <w:adjustRightInd w:val="0"/>
        <w:snapToGrid w:val="0"/>
        <w:spacing w:line="560" w:lineRule="exact"/>
        <w:ind w:firstLine="632" w:firstLineChars="200"/>
        <w:textAlignment w:val="auto"/>
        <w:rPr>
          <w:rFonts w:hint="eastAsia" w:ascii="仿宋" w:hAnsi="仿宋" w:eastAsia="仿宋" w:cs="仿宋"/>
          <w:color w:val="000000" w:themeColor="text1"/>
          <w:spacing w:val="-2"/>
          <w:sz w:val="32"/>
          <w:szCs w:val="32"/>
          <w:lang w:val="en-US" w:eastAsia="zh-CN"/>
        </w:rPr>
      </w:pPr>
      <w:r>
        <w:rPr>
          <w:rFonts w:hint="eastAsia" w:ascii="仿宋" w:hAnsi="仿宋" w:eastAsia="仿宋" w:cs="仿宋"/>
          <w:color w:val="000000" w:themeColor="text1"/>
          <w:spacing w:val="-2"/>
          <w:sz w:val="32"/>
          <w:szCs w:val="32"/>
          <w:lang w:val="en-US" w:eastAsia="zh-CN"/>
        </w:rPr>
        <w:t>为贯彻落实《吉林省商务厅 吉林省财政厅 吉林省乡村振兴局关于印发&lt;吉林省2022年度县域商业建设行动支持项目资金使用方案&gt;的通知》（吉商建</w:t>
      </w:r>
      <w:r>
        <w:rPr>
          <w:rFonts w:hint="eastAsia" w:ascii="宋体" w:hAnsi="宋体" w:eastAsia="宋体" w:cs="宋体"/>
          <w:color w:val="000000" w:themeColor="text1"/>
          <w:spacing w:val="-2"/>
          <w:sz w:val="32"/>
          <w:szCs w:val="32"/>
          <w:lang w:val="en-US" w:eastAsia="zh-CN"/>
        </w:rPr>
        <w:t>[2022]16号</w:t>
      </w:r>
      <w:r>
        <w:rPr>
          <w:rFonts w:hint="eastAsia" w:ascii="仿宋" w:hAnsi="仿宋" w:eastAsia="仿宋" w:cs="仿宋"/>
          <w:color w:val="000000" w:themeColor="text1"/>
          <w:spacing w:val="-2"/>
          <w:sz w:val="32"/>
          <w:szCs w:val="32"/>
          <w:lang w:val="en-US" w:eastAsia="zh-CN"/>
        </w:rPr>
        <w:t>）精神，加快推动洮南市县域商业建设行动计划，结合我市实际，特制定本方案。</w:t>
      </w:r>
    </w:p>
    <w:p>
      <w:pPr>
        <w:pageBreakBefore w:val="0"/>
        <w:widowControl w:val="0"/>
        <w:numPr>
          <w:ilvl w:val="0"/>
          <w:numId w:val="0"/>
        </w:numPr>
        <w:kinsoku/>
        <w:wordWrap/>
        <w:overflowPunct/>
        <w:topLinePunct w:val="0"/>
        <w:autoSpaceDE w:val="0"/>
        <w:autoSpaceDN w:val="0"/>
        <w:bidi w:val="0"/>
        <w:adjustRightInd w:val="0"/>
        <w:snapToGrid w:val="0"/>
        <w:spacing w:line="560" w:lineRule="exact"/>
        <w:ind w:firstLine="632" w:firstLineChars="200"/>
        <w:textAlignment w:val="auto"/>
        <w:rPr>
          <w:rFonts w:hint="eastAsia" w:ascii="黑体" w:hAnsi="黑体" w:eastAsia="黑体" w:cs="黑体"/>
          <w:color w:val="000000" w:themeColor="text1"/>
          <w:spacing w:val="-2"/>
          <w:sz w:val="32"/>
          <w:szCs w:val="32"/>
          <w:lang w:val="en-US" w:eastAsia="zh-CN"/>
        </w:rPr>
      </w:pPr>
      <w:r>
        <w:rPr>
          <w:rFonts w:hint="eastAsia" w:ascii="黑体" w:hAnsi="黑体" w:eastAsia="黑体" w:cs="黑体"/>
          <w:color w:val="000000" w:themeColor="text1"/>
          <w:spacing w:val="-2"/>
          <w:sz w:val="32"/>
          <w:szCs w:val="32"/>
          <w:lang w:val="en-US" w:eastAsia="zh-CN"/>
        </w:rPr>
        <w:t>一、总体思路</w:t>
      </w:r>
    </w:p>
    <w:p>
      <w:pPr>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县域流通网络，补齐县域商业基础设施短板，完善县乡村三级物流配送体系，</w:t>
      </w:r>
      <w:r>
        <w:rPr>
          <w:rFonts w:hint="eastAsia" w:ascii="仿宋_GB2312" w:hAnsi="仿宋_GB2312" w:eastAsia="仿宋_GB2312" w:cs="仿宋_GB2312"/>
          <w:sz w:val="32"/>
          <w:szCs w:val="32"/>
          <w:lang w:val="en-US" w:eastAsia="zh-CN"/>
        </w:rPr>
        <w:t>改</w:t>
      </w:r>
      <w:r>
        <w:rPr>
          <w:rFonts w:hint="eastAsia" w:ascii="仿宋_GB2312" w:hAnsi="仿宋_GB2312" w:eastAsia="仿宋_GB2312" w:cs="仿宋_GB2312"/>
          <w:sz w:val="32"/>
          <w:szCs w:val="32"/>
        </w:rPr>
        <w:t>善优化县域消费渠道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全面推进县域商业体系建设，引导消费要素向县域市场倾斜，促进乡村振兴，服务构建新发展格局。</w:t>
      </w:r>
    </w:p>
    <w:p>
      <w:pPr>
        <w:pageBreakBefore w:val="0"/>
        <w:widowControl w:val="0"/>
        <w:numPr>
          <w:ilvl w:val="0"/>
          <w:numId w:val="0"/>
        </w:numPr>
        <w:kinsoku/>
        <w:wordWrap/>
        <w:overflowPunct/>
        <w:topLinePunct w:val="0"/>
        <w:autoSpaceDE w:val="0"/>
        <w:autoSpaceDN w:val="0"/>
        <w:bidi w:val="0"/>
        <w:adjustRightInd w:val="0"/>
        <w:snapToGrid w:val="0"/>
        <w:spacing w:line="560" w:lineRule="exact"/>
        <w:ind w:firstLine="632" w:firstLineChars="200"/>
        <w:textAlignment w:val="auto"/>
        <w:rPr>
          <w:rFonts w:ascii="黑体" w:hAnsi="黑体" w:eastAsia="黑体" w:cs="Times"/>
          <w:color w:val="000000" w:themeColor="text1"/>
          <w:spacing w:val="-2"/>
          <w:sz w:val="32"/>
          <w:szCs w:val="32"/>
        </w:rPr>
      </w:pPr>
      <w:r>
        <w:rPr>
          <w:rFonts w:hint="eastAsia" w:ascii="黑体" w:hAnsi="黑体" w:eastAsia="黑体" w:cs="Times"/>
          <w:color w:val="000000" w:themeColor="text1"/>
          <w:spacing w:val="-2"/>
          <w:sz w:val="32"/>
          <w:szCs w:val="32"/>
          <w:lang w:val="en-US" w:eastAsia="zh-CN"/>
        </w:rPr>
        <w:t>二、工作</w:t>
      </w:r>
      <w:r>
        <w:rPr>
          <w:rFonts w:ascii="黑体" w:hAnsi="黑体" w:eastAsia="黑体" w:cs="Times"/>
          <w:color w:val="000000" w:themeColor="text1"/>
          <w:spacing w:val="-2"/>
          <w:sz w:val="32"/>
          <w:szCs w:val="32"/>
        </w:rPr>
        <w:t>目标</w:t>
      </w:r>
    </w:p>
    <w:p>
      <w:pPr>
        <w:pageBreakBefore w:val="0"/>
        <w:widowControl w:val="0"/>
        <w:numPr>
          <w:ilvl w:val="0"/>
          <w:numId w:val="0"/>
        </w:numPr>
        <w:kinsoku/>
        <w:wordWrap/>
        <w:overflowPunct/>
        <w:topLinePunct w:val="0"/>
        <w:autoSpaceDE w:val="0"/>
        <w:autoSpaceDN w:val="0"/>
        <w:bidi w:val="0"/>
        <w:adjustRightInd w:val="0"/>
        <w:snapToGrid w:val="0"/>
        <w:spacing w:line="560" w:lineRule="exact"/>
        <w:ind w:firstLine="632" w:firstLineChars="200"/>
        <w:textAlignment w:val="auto"/>
        <w:rPr>
          <w:rFonts w:ascii="仿宋_GB2312" w:eastAsia="仿宋_GB2312"/>
          <w:b w:val="0"/>
          <w:bCs w:val="0"/>
          <w:color w:val="000000" w:themeColor="text1"/>
          <w:spacing w:val="-2"/>
          <w:sz w:val="32"/>
          <w:szCs w:val="32"/>
        </w:rPr>
      </w:pPr>
      <w:r>
        <w:rPr>
          <w:rFonts w:hint="eastAsia" w:ascii="仿宋_GB2312" w:eastAsia="仿宋_GB2312"/>
          <w:b w:val="0"/>
          <w:bCs w:val="0"/>
          <w:color w:val="000000" w:themeColor="text1"/>
          <w:spacing w:val="-2"/>
          <w:sz w:val="32"/>
          <w:szCs w:val="32"/>
        </w:rPr>
        <w:t>围绕</w:t>
      </w:r>
      <w:r>
        <w:rPr>
          <w:rFonts w:hint="eastAsia" w:ascii="仿宋_GB2312" w:eastAsia="仿宋_GB2312"/>
          <w:b w:val="0"/>
          <w:bCs w:val="0"/>
          <w:color w:val="000000" w:themeColor="text1"/>
          <w:spacing w:val="-2"/>
          <w:sz w:val="32"/>
          <w:szCs w:val="32"/>
          <w:lang w:val="en-US" w:eastAsia="zh-CN"/>
        </w:rPr>
        <w:t>商务部</w:t>
      </w:r>
      <w:r>
        <w:rPr>
          <w:rFonts w:hint="eastAsia" w:ascii="仿宋_GB2312" w:eastAsia="仿宋_GB2312"/>
          <w:b w:val="0"/>
          <w:bCs w:val="0"/>
          <w:color w:val="000000" w:themeColor="text1"/>
          <w:spacing w:val="-2"/>
          <w:sz w:val="32"/>
          <w:szCs w:val="32"/>
        </w:rPr>
        <w:t>提出的三个全覆盖和七项约束性指标，建立完善县域统筹以县域为中心，乡镇为重点，村为基础的县域商业体系。到2023年末，建设县域商贸中心1个、建设县域物流仓储分拣配送中心1个、乡镇商贸中心5个、数据赋能平台1个、221个行政村，每个行政村建设改造一个村级便民服务店和一个快递物流服务站点，做到村村有物流快递站点，实现快递进村全覆盖。</w:t>
      </w:r>
    </w:p>
    <w:p>
      <w:pPr>
        <w:pageBreakBefore w:val="0"/>
        <w:widowControl w:val="0"/>
        <w:kinsoku/>
        <w:wordWrap/>
        <w:overflowPunct/>
        <w:topLinePunct w:val="0"/>
        <w:autoSpaceDE w:val="0"/>
        <w:autoSpaceDN w:val="0"/>
        <w:bidi w:val="0"/>
        <w:adjustRightInd w:val="0"/>
        <w:snapToGrid w:val="0"/>
        <w:spacing w:line="560" w:lineRule="exact"/>
        <w:ind w:firstLine="632" w:firstLineChars="200"/>
        <w:textAlignment w:val="auto"/>
        <w:rPr>
          <w:rFonts w:hint="default" w:eastAsia="黑体"/>
          <w:color w:val="000000" w:themeColor="text1"/>
          <w:lang w:val="en-US" w:eastAsia="zh-CN"/>
        </w:rPr>
      </w:pPr>
      <w:r>
        <w:rPr>
          <w:rFonts w:hint="eastAsia" w:ascii="黑体" w:hAnsi="黑体" w:eastAsia="黑体"/>
          <w:color w:val="000000" w:themeColor="text1"/>
          <w:spacing w:val="-2"/>
          <w:sz w:val="32"/>
          <w:szCs w:val="32"/>
        </w:rPr>
        <w:t>三、</w:t>
      </w:r>
      <w:r>
        <w:rPr>
          <w:rFonts w:hint="eastAsia" w:ascii="黑体" w:hAnsi="黑体" w:eastAsia="黑体"/>
          <w:color w:val="000000" w:themeColor="text1"/>
          <w:sz w:val="32"/>
          <w:szCs w:val="32"/>
          <w:lang w:val="en-US" w:eastAsia="zh-CN"/>
        </w:rPr>
        <w:t>实施内容</w:t>
      </w:r>
    </w:p>
    <w:p>
      <w:pPr>
        <w:pageBreakBefore w:val="0"/>
        <w:widowControl w:val="0"/>
        <w:kinsoku/>
        <w:wordWrap/>
        <w:overflowPunct/>
        <w:topLinePunct w:val="0"/>
        <w:autoSpaceDE w:val="0"/>
        <w:bidi w:val="0"/>
        <w:spacing w:line="560" w:lineRule="exact"/>
        <w:ind w:firstLine="643" w:firstLineChars="200"/>
        <w:textAlignment w:val="auto"/>
        <w:rPr>
          <w:rFonts w:ascii="楷体_GB2312" w:hAnsi="仿宋" w:eastAsia="楷体_GB2312"/>
          <w:b/>
          <w:bCs/>
          <w:color w:val="000000" w:themeColor="text1"/>
          <w:kern w:val="0"/>
          <w:sz w:val="32"/>
          <w:szCs w:val="32"/>
        </w:rPr>
      </w:pPr>
      <w:r>
        <w:rPr>
          <w:rFonts w:hint="eastAsia" w:ascii="楷体_GB2312" w:hAnsi="仿宋" w:eastAsia="楷体_GB2312"/>
          <w:b/>
          <w:bCs/>
          <w:color w:val="000000" w:themeColor="text1"/>
          <w:kern w:val="0"/>
          <w:sz w:val="32"/>
          <w:szCs w:val="32"/>
        </w:rPr>
        <w:t>（一）补齐和强化乡镇商贸中心基础设施和职能</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kern w:val="0"/>
          <w:sz w:val="32"/>
          <w:szCs w:val="32"/>
        </w:rPr>
        <w:t>择优建设改造5个具有公共服务职能的乡(镇)商贸中心，具体内容如下：</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（1）强化网络建设，增强农村流通体系服务能力。</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（2）强化基础设施，优化功效服务环境。</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（3）加强业态业种，完善功能分区。</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（4）加强培育商业文化。</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通过逐步完善以上几项功能，力争将洮南市乡(镇)商贸中心为县、乡、村三级体系提供充分的枢纽效能，并打造成集商流、物流、资金流和信息流为一体的现代化、多功能的公共服务中心。</w:t>
      </w:r>
    </w:p>
    <w:p>
      <w:pPr>
        <w:pStyle w:val="2"/>
        <w:pageBreakBefore w:val="0"/>
        <w:widowControl w:val="0"/>
        <w:kinsoku/>
        <w:wordWrap/>
        <w:overflowPunct/>
        <w:topLinePunct w:val="0"/>
        <w:autoSpaceDE w:val="0"/>
        <w:bidi w:val="0"/>
        <w:spacing w:before="0" w:after="0" w:line="560" w:lineRule="exact"/>
        <w:ind w:firstLine="643" w:firstLineChars="200"/>
        <w:textAlignment w:val="auto"/>
        <w:rPr>
          <w:rFonts w:ascii="楷体_GB2312" w:hAnsi="仿宋" w:eastAsia="楷体_GB2312"/>
          <w:color w:val="000000" w:themeColor="text1"/>
          <w:kern w:val="0"/>
        </w:rPr>
      </w:pPr>
      <w:r>
        <w:rPr>
          <w:rFonts w:hint="eastAsia" w:ascii="楷体_GB2312" w:hAnsi="仿宋" w:eastAsia="楷体_GB2312"/>
          <w:color w:val="000000" w:themeColor="text1"/>
          <w:kern w:val="0"/>
        </w:rPr>
        <w:t>（二）提高数据赋能功效</w:t>
      </w:r>
    </w:p>
    <w:p>
      <w:pPr>
        <w:pStyle w:val="2"/>
        <w:pageBreakBefore w:val="0"/>
        <w:widowControl w:val="0"/>
        <w:kinsoku/>
        <w:wordWrap/>
        <w:overflowPunct/>
        <w:topLinePunct w:val="0"/>
        <w:autoSpaceDE w:val="0"/>
        <w:bidi w:val="0"/>
        <w:spacing w:before="0" w:after="0" w:line="560" w:lineRule="exact"/>
        <w:ind w:firstLine="640" w:firstLineChars="200"/>
        <w:textAlignment w:val="auto"/>
        <w:rPr>
          <w:rFonts w:ascii="仿宋_GB2312" w:hAnsi="仿宋" w:eastAsia="仿宋_GB2312"/>
          <w:b w:val="0"/>
          <w:bCs w:val="0"/>
          <w:color w:val="000000" w:themeColor="text1"/>
          <w:kern w:val="0"/>
        </w:rPr>
      </w:pPr>
      <w:r>
        <w:rPr>
          <w:rFonts w:hint="eastAsia" w:ascii="仿宋_GB2312" w:hAnsi="仿宋" w:eastAsia="仿宋_GB2312"/>
          <w:b w:val="0"/>
          <w:bCs w:val="0"/>
          <w:color w:val="000000" w:themeColor="text1"/>
          <w:kern w:val="0"/>
        </w:rPr>
        <w:t>打造县域商业大数据项目将县、乡、村三级业态与统计监测有效结合,内容如下：</w:t>
      </w:r>
    </w:p>
    <w:p>
      <w:pPr>
        <w:pStyle w:val="15"/>
        <w:pageBreakBefore w:val="0"/>
        <w:widowControl w:val="0"/>
        <w:kinsoku/>
        <w:wordWrap/>
        <w:overflowPunct/>
        <w:topLinePunct w:val="0"/>
        <w:autoSpaceDE w:val="0"/>
        <w:bidi w:val="0"/>
        <w:spacing w:line="560" w:lineRule="exact"/>
        <w:ind w:firstLine="64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（1）捕捉全域电商行业数据，打破数据孤岛。</w:t>
      </w:r>
    </w:p>
    <w:p>
      <w:pPr>
        <w:pStyle w:val="15"/>
        <w:pageBreakBefore w:val="0"/>
        <w:widowControl w:val="0"/>
        <w:kinsoku/>
        <w:wordWrap/>
        <w:overflowPunct/>
        <w:topLinePunct w:val="0"/>
        <w:autoSpaceDE w:val="0"/>
        <w:bidi w:val="0"/>
        <w:spacing w:line="560" w:lineRule="exact"/>
        <w:ind w:firstLine="64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（2）动态跟踪县、乡、村三级农产品流通情况。</w:t>
      </w:r>
    </w:p>
    <w:p>
      <w:pPr>
        <w:pStyle w:val="15"/>
        <w:pageBreakBefore w:val="0"/>
        <w:widowControl w:val="0"/>
        <w:kinsoku/>
        <w:wordWrap/>
        <w:overflowPunct/>
        <w:topLinePunct w:val="0"/>
        <w:autoSpaceDE w:val="0"/>
        <w:bidi w:val="0"/>
        <w:spacing w:line="560" w:lineRule="exact"/>
        <w:ind w:firstLine="64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（3）深度分析挖掘数据，灵活、多维度可视化展现。</w:t>
      </w:r>
    </w:p>
    <w:p>
      <w:pPr>
        <w:pStyle w:val="15"/>
        <w:pageBreakBefore w:val="0"/>
        <w:widowControl w:val="0"/>
        <w:kinsoku/>
        <w:wordWrap/>
        <w:overflowPunct/>
        <w:topLinePunct w:val="0"/>
        <w:autoSpaceDE w:val="0"/>
        <w:bidi w:val="0"/>
        <w:spacing w:line="560" w:lineRule="exact"/>
        <w:ind w:firstLine="64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（4）为政府提供科学数据支撑，为整体管控提供抓手。</w:t>
      </w:r>
    </w:p>
    <w:p>
      <w:pPr>
        <w:pStyle w:val="15"/>
        <w:pageBreakBefore w:val="0"/>
        <w:widowControl w:val="0"/>
        <w:kinsoku/>
        <w:wordWrap/>
        <w:overflowPunct/>
        <w:topLinePunct w:val="0"/>
        <w:autoSpaceDE w:val="0"/>
        <w:bidi w:val="0"/>
        <w:spacing w:line="560" w:lineRule="exact"/>
        <w:ind w:firstLine="64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（5）为经营者推送分析结果，辅助经营决策。</w:t>
      </w:r>
    </w:p>
    <w:p>
      <w:pPr>
        <w:pStyle w:val="15"/>
        <w:pageBreakBefore w:val="0"/>
        <w:widowControl w:val="0"/>
        <w:kinsoku/>
        <w:wordWrap/>
        <w:overflowPunct/>
        <w:topLinePunct w:val="0"/>
        <w:autoSpaceDE w:val="0"/>
        <w:bidi w:val="0"/>
        <w:spacing w:line="560" w:lineRule="exact"/>
        <w:ind w:firstLine="643"/>
        <w:textAlignment w:val="auto"/>
        <w:rPr>
          <w:rFonts w:ascii="仿宋_GB2312" w:hAnsi="仿宋" w:eastAsia="仿宋_GB2312"/>
          <w:color w:val="000000" w:themeColor="text1"/>
          <w:kern w:val="0"/>
          <w:sz w:val="32"/>
          <w:szCs w:val="32"/>
        </w:rPr>
      </w:pPr>
      <w:r>
        <w:rPr>
          <w:rFonts w:hint="eastAsia" w:ascii="楷体_GB2312" w:hAnsi="仿宋" w:eastAsia="楷体_GB2312"/>
          <w:b/>
          <w:bCs/>
          <w:color w:val="000000" w:themeColor="text1"/>
          <w:sz w:val="32"/>
          <w:szCs w:val="32"/>
        </w:rPr>
        <w:t>（三）完善县乡村三级物流配送体系</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巩固成果，保证县级物流配送中心和相应配套的乡(镇)物流快递站点按照"村村通快递" 的要求,利用市场化手段在行政村设置物流快递收发点,对具备条件的行政村实现上下行物流快递全覆盖的同时，提升服务管理能力，科学有效的提升服务质量和效率，强化公共服务职能；在巩固基本硬件服务能力的前提下着重提升软性服务能力：</w:t>
      </w:r>
    </w:p>
    <w:p>
      <w:pPr>
        <w:pStyle w:val="15"/>
        <w:pageBreakBefore w:val="0"/>
        <w:widowControl w:val="0"/>
        <w:kinsoku/>
        <w:wordWrap/>
        <w:overflowPunct/>
        <w:topLinePunct w:val="0"/>
        <w:autoSpaceDE w:val="0"/>
        <w:bidi w:val="0"/>
        <w:spacing w:line="560" w:lineRule="exact"/>
        <w:ind w:firstLine="64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（1）智慧物流体系的搭建，挖掘物流大数据的经营分析能力。</w:t>
      </w:r>
    </w:p>
    <w:p>
      <w:pPr>
        <w:pStyle w:val="2"/>
        <w:keepLines w:val="0"/>
        <w:pageBreakBefore w:val="0"/>
        <w:widowControl w:val="0"/>
        <w:kinsoku/>
        <w:wordWrap/>
        <w:overflowPunct/>
        <w:topLinePunct w:val="0"/>
        <w:autoSpaceDE w:val="0"/>
        <w:bidi w:val="0"/>
        <w:spacing w:before="0" w:after="0" w:line="560" w:lineRule="exact"/>
        <w:ind w:firstLine="640" w:firstLineChars="200"/>
        <w:textAlignment w:val="auto"/>
        <w:rPr>
          <w:rFonts w:ascii="仿宋_GB2312" w:hAnsi="仿宋" w:eastAsia="仿宋_GB2312"/>
          <w:b w:val="0"/>
          <w:bCs w:val="0"/>
          <w:color w:val="000000" w:themeColor="text1"/>
        </w:rPr>
      </w:pPr>
      <w:r>
        <w:rPr>
          <w:rFonts w:hint="eastAsia" w:ascii="仿宋_GB2312" w:hAnsi="仿宋" w:eastAsia="仿宋_GB2312"/>
          <w:b w:val="0"/>
          <w:bCs w:val="0"/>
          <w:color w:val="000000" w:themeColor="text1"/>
          <w:kern w:val="0"/>
        </w:rPr>
        <w:t>（2）</w:t>
      </w:r>
      <w:r>
        <w:rPr>
          <w:rFonts w:hint="eastAsia" w:ascii="仿宋_GB2312" w:hAnsi="仿宋" w:eastAsia="仿宋_GB2312"/>
          <w:b w:val="0"/>
          <w:bCs w:val="0"/>
          <w:color w:val="000000" w:themeColor="text1"/>
        </w:rPr>
        <w:t>全市一张图，为智慧城市提供有效连接。</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kern w:val="0"/>
          <w:sz w:val="32"/>
          <w:szCs w:val="32"/>
        </w:rPr>
        <w:t>（3）</w:t>
      </w:r>
      <w:r>
        <w:rPr>
          <w:rFonts w:hint="eastAsia" w:ascii="仿宋_GB2312" w:hAnsi="仿宋" w:eastAsia="仿宋_GB2312"/>
          <w:color w:val="000000" w:themeColor="text1"/>
          <w:sz w:val="32"/>
          <w:szCs w:val="32"/>
        </w:rPr>
        <w:t>配送中心和快递站点的无缝联动。</w:t>
      </w:r>
    </w:p>
    <w:p>
      <w:pPr>
        <w:pStyle w:val="2"/>
        <w:keepLines w:val="0"/>
        <w:pageBreakBefore w:val="0"/>
        <w:widowControl w:val="0"/>
        <w:kinsoku/>
        <w:wordWrap/>
        <w:overflowPunct/>
        <w:topLinePunct w:val="0"/>
        <w:autoSpaceDE w:val="0"/>
        <w:bidi w:val="0"/>
        <w:spacing w:before="0" w:after="0" w:line="560" w:lineRule="exact"/>
        <w:ind w:firstLine="640" w:firstLineChars="200"/>
        <w:textAlignment w:val="auto"/>
        <w:rPr>
          <w:rFonts w:hint="eastAsia" w:ascii="仿宋_GB2312" w:hAnsi="仿宋" w:eastAsia="仿宋_GB2312"/>
          <w:color w:val="000000" w:themeColor="text1"/>
          <w:lang w:eastAsia="zh-CN"/>
        </w:rPr>
      </w:pPr>
      <w:r>
        <w:rPr>
          <w:rFonts w:hint="eastAsia" w:ascii="仿宋_GB2312" w:hAnsi="仿宋" w:eastAsia="仿宋_GB2312"/>
          <w:b w:val="0"/>
          <w:bCs w:val="0"/>
          <w:color w:val="000000" w:themeColor="text1"/>
          <w:kern w:val="0"/>
        </w:rPr>
        <w:t>（4）</w:t>
      </w:r>
      <w:r>
        <w:rPr>
          <w:rFonts w:hint="eastAsia" w:ascii="仿宋_GB2312" w:hAnsi="仿宋" w:eastAsia="仿宋_GB2312"/>
          <w:b w:val="0"/>
          <w:bCs w:val="0"/>
          <w:color w:val="000000" w:themeColor="text1"/>
        </w:rPr>
        <w:t>配送中心和快递站点服务负载的提升管理</w:t>
      </w:r>
      <w:r>
        <w:rPr>
          <w:rFonts w:hint="eastAsia" w:ascii="仿宋_GB2312" w:hAnsi="仿宋" w:eastAsia="仿宋_GB2312"/>
          <w:b w:val="0"/>
          <w:bCs w:val="0"/>
          <w:color w:val="000000" w:themeColor="text1"/>
          <w:lang w:eastAsia="zh-CN"/>
        </w:rPr>
        <w:t>。</w:t>
      </w:r>
    </w:p>
    <w:p>
      <w:pPr>
        <w:pageBreakBefore w:val="0"/>
        <w:widowControl w:val="0"/>
        <w:kinsoku/>
        <w:wordWrap/>
        <w:overflowPunct/>
        <w:topLinePunct w:val="0"/>
        <w:autoSpaceDE w:val="0"/>
        <w:bidi w:val="0"/>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kern w:val="0"/>
          <w:sz w:val="32"/>
          <w:szCs w:val="32"/>
        </w:rPr>
        <w:t>（5）</w:t>
      </w:r>
      <w:r>
        <w:rPr>
          <w:rFonts w:hint="eastAsia" w:ascii="仿宋_GB2312" w:hAnsi="仿宋" w:eastAsia="仿宋_GB2312"/>
          <w:color w:val="000000" w:themeColor="text1"/>
          <w:sz w:val="32"/>
          <w:szCs w:val="32"/>
        </w:rPr>
        <w:t>硬件和人员管理规范的提升。</w:t>
      </w:r>
    </w:p>
    <w:p>
      <w:pPr>
        <w:pageBreakBefore w:val="0"/>
        <w:widowControl w:val="0"/>
        <w:kinsoku/>
        <w:wordWrap/>
        <w:overflowPunct/>
        <w:topLinePunct w:val="0"/>
        <w:autoSpaceDE w:val="0"/>
        <w:autoSpaceDN w:val="0"/>
        <w:bidi w:val="0"/>
        <w:adjustRightInd w:val="0"/>
        <w:snapToGrid w:val="0"/>
        <w:spacing w:line="560" w:lineRule="exact"/>
        <w:ind w:firstLine="632" w:firstLineChars="200"/>
        <w:textAlignment w:val="auto"/>
        <w:rPr>
          <w:rFonts w:ascii="仿宋" w:hAnsi="仿宋" w:eastAsia="仿宋"/>
          <w:color w:val="000000" w:themeColor="text1"/>
          <w:sz w:val="32"/>
          <w:szCs w:val="32"/>
        </w:rPr>
      </w:pPr>
      <w:r>
        <w:rPr>
          <w:rFonts w:hint="eastAsia" w:ascii="黑体" w:hAnsi="黑体" w:eastAsia="黑体"/>
          <w:color w:val="000000" w:themeColor="text1"/>
          <w:spacing w:val="-2"/>
          <w:sz w:val="32"/>
          <w:szCs w:val="32"/>
        </w:rPr>
        <w:t>四、项目计划</w:t>
      </w:r>
    </w:p>
    <w:p>
      <w:pPr>
        <w:pStyle w:val="2"/>
        <w:pageBreakBefore w:val="0"/>
        <w:widowControl w:val="0"/>
        <w:kinsoku/>
        <w:wordWrap/>
        <w:overflowPunct/>
        <w:topLinePunct w:val="0"/>
        <w:bidi w:val="0"/>
        <w:spacing w:line="560" w:lineRule="exact"/>
        <w:ind w:firstLine="632" w:firstLineChars="200"/>
        <w:textAlignment w:val="auto"/>
        <w:rPr>
          <w:rFonts w:ascii="仿宋_GB2312" w:eastAsia="仿宋_GB2312"/>
          <w:color w:val="000000" w:themeColor="text1"/>
          <w:spacing w:val="-2"/>
          <w:sz w:val="32"/>
          <w:szCs w:val="32"/>
        </w:rPr>
      </w:pPr>
      <w:r>
        <w:rPr>
          <w:rFonts w:hint="eastAsia" w:ascii="仿宋_GB2312" w:eastAsia="仿宋_GB2312"/>
          <w:b w:val="0"/>
          <w:bCs w:val="0"/>
          <w:color w:val="000000" w:themeColor="text1"/>
          <w:spacing w:val="-2"/>
          <w:sz w:val="32"/>
          <w:szCs w:val="32"/>
        </w:rPr>
        <w:t>围绕完成“三个全覆盖”</w:t>
      </w:r>
      <w:r>
        <w:rPr>
          <w:rFonts w:hint="eastAsia" w:ascii="仿宋_GB2312" w:eastAsia="仿宋_GB2312"/>
          <w:b w:val="0"/>
          <w:bCs w:val="0"/>
          <w:color w:val="000000" w:themeColor="text1"/>
          <w:spacing w:val="-2"/>
          <w:sz w:val="32"/>
          <w:szCs w:val="32"/>
          <w:lang w:eastAsia="zh-CN"/>
        </w:rPr>
        <w:t>、</w:t>
      </w:r>
      <w:r>
        <w:rPr>
          <w:rFonts w:hint="eastAsia" w:ascii="仿宋_GB2312" w:eastAsia="仿宋_GB2312"/>
          <w:b w:val="0"/>
          <w:bCs w:val="0"/>
          <w:color w:val="000000" w:themeColor="text1"/>
          <w:spacing w:val="-2"/>
          <w:sz w:val="32"/>
          <w:szCs w:val="32"/>
        </w:rPr>
        <w:t>七项约束性指标和到2025年县域商业建设行动总体工作目标，</w:t>
      </w:r>
      <w:r>
        <w:rPr>
          <w:rFonts w:hint="eastAsia" w:ascii="仿宋_GB2312" w:eastAsia="仿宋_GB2312"/>
          <w:b w:val="0"/>
          <w:bCs w:val="0"/>
          <w:color w:val="000000" w:themeColor="text1"/>
          <w:spacing w:val="-2"/>
          <w:sz w:val="32"/>
          <w:szCs w:val="32"/>
          <w:lang w:val="en-US" w:eastAsia="zh-CN"/>
        </w:rPr>
        <w:t>根</w:t>
      </w:r>
      <w:r>
        <w:rPr>
          <w:rFonts w:hint="eastAsia" w:ascii="仿宋_GB2312" w:eastAsia="仿宋_GB2312"/>
          <w:b w:val="0"/>
          <w:bCs w:val="0"/>
          <w:color w:val="000000" w:themeColor="text1"/>
          <w:spacing w:val="-2"/>
          <w:sz w:val="32"/>
          <w:szCs w:val="32"/>
        </w:rPr>
        <w:t>据《吉林省商务厅等17部门关于加强县域商业体系建设促进农村消费的意见》及《县域商业建设指南》</w:t>
      </w:r>
      <w:r>
        <w:rPr>
          <w:rFonts w:hint="eastAsia" w:ascii="仿宋_GB2312" w:eastAsia="仿宋_GB2312"/>
          <w:b w:val="0"/>
          <w:bCs w:val="0"/>
          <w:color w:val="000000" w:themeColor="text1"/>
          <w:spacing w:val="-2"/>
          <w:sz w:val="32"/>
          <w:szCs w:val="32"/>
          <w:lang w:val="en-US" w:eastAsia="zh-CN"/>
        </w:rPr>
        <w:t>精神，并</w:t>
      </w:r>
      <w:r>
        <w:rPr>
          <w:rFonts w:hint="eastAsia" w:ascii="仿宋_GB2312" w:eastAsia="仿宋_GB2312"/>
          <w:b w:val="0"/>
          <w:bCs w:val="0"/>
          <w:color w:val="000000" w:themeColor="text1"/>
          <w:spacing w:val="-2"/>
          <w:sz w:val="32"/>
          <w:szCs w:val="32"/>
        </w:rPr>
        <w:t>结合我市实际，共计安排县域商业建设行动建设项目7个，拟投资942万元。分别是5个乡镇商贸中心改造建设项目，拟投入资金500万元；数据赋能建设项目1个，拟投入资金60万元；在完善县乡村三级物流配送体系方面安排1个项目，暨县域物流中心改造建设项目拟投入资金382万元；通过市场化手段建设改造县域商贸中心和便利店</w:t>
      </w:r>
      <w:r>
        <w:rPr>
          <w:rFonts w:hint="eastAsia" w:ascii="仿宋_GB2312" w:eastAsia="仿宋_GB2312"/>
          <w:b w:val="0"/>
          <w:bCs w:val="0"/>
          <w:color w:val="000000" w:themeColor="text1"/>
          <w:spacing w:val="-2"/>
        </w:rPr>
        <w:t>（</w:t>
      </w:r>
      <w:r>
        <w:rPr>
          <w:rFonts w:hint="eastAsia" w:ascii="仿宋_GB2312" w:eastAsia="仿宋_GB2312"/>
          <w:b w:val="0"/>
          <w:bCs w:val="0"/>
          <w:color w:val="000000" w:themeColor="text1"/>
          <w:spacing w:val="-2"/>
          <w:lang w:val="en-US" w:eastAsia="zh-CN"/>
        </w:rPr>
        <w:t>详见附件</w:t>
      </w:r>
      <w:r>
        <w:rPr>
          <w:rFonts w:hint="eastAsia" w:ascii="仿宋_GB2312" w:eastAsia="仿宋_GB2312"/>
          <w:b w:val="0"/>
          <w:bCs w:val="0"/>
          <w:color w:val="000000" w:themeColor="text1"/>
          <w:spacing w:val="-2"/>
        </w:rPr>
        <w:t>）</w:t>
      </w:r>
      <w:r>
        <w:rPr>
          <w:rFonts w:hint="eastAsia" w:ascii="仿宋_GB2312" w:eastAsia="仿宋_GB2312"/>
          <w:color w:val="000000" w:themeColor="text1"/>
          <w:spacing w:val="-2"/>
          <w:sz w:val="32"/>
          <w:szCs w:val="32"/>
        </w:rPr>
        <w:t>。</w:t>
      </w:r>
    </w:p>
    <w:p>
      <w:pPr>
        <w:pageBreakBefore w:val="0"/>
        <w:widowControl w:val="0"/>
        <w:numPr>
          <w:ilvl w:val="0"/>
          <w:numId w:val="1"/>
        </w:numPr>
        <w:kinsoku/>
        <w:wordWrap/>
        <w:overflowPunct/>
        <w:topLinePunct w:val="0"/>
        <w:autoSpaceDE w:val="0"/>
        <w:autoSpaceDN w:val="0"/>
        <w:bidi w:val="0"/>
        <w:adjustRightInd w:val="0"/>
        <w:snapToGrid w:val="0"/>
        <w:spacing w:line="560" w:lineRule="exact"/>
        <w:ind w:firstLine="632" w:firstLineChars="200"/>
        <w:textAlignment w:val="auto"/>
        <w:rPr>
          <w:rFonts w:hint="eastAsia" w:ascii="黑体" w:hAnsi="黑体" w:eastAsia="黑体"/>
          <w:color w:val="000000" w:themeColor="text1"/>
          <w:spacing w:val="-2"/>
          <w:sz w:val="32"/>
          <w:szCs w:val="32"/>
        </w:rPr>
      </w:pPr>
      <w:r>
        <w:rPr>
          <w:rFonts w:hint="eastAsia" w:ascii="黑体" w:hAnsi="黑体" w:eastAsia="黑体"/>
          <w:color w:val="000000" w:themeColor="text1"/>
          <w:spacing w:val="-2"/>
          <w:sz w:val="32"/>
          <w:szCs w:val="32"/>
        </w:rPr>
        <w:t>保障机制</w:t>
      </w:r>
    </w:p>
    <w:p>
      <w:pPr>
        <w:pageBreakBefore w:val="0"/>
        <w:widowControl w:val="0"/>
        <w:numPr>
          <w:ilvl w:val="0"/>
          <w:numId w:val="0"/>
        </w:numPr>
        <w:kinsoku/>
        <w:wordWrap/>
        <w:overflowPunct/>
        <w:topLinePunct w:val="0"/>
        <w:autoSpaceDE w:val="0"/>
        <w:autoSpaceDN w:val="0"/>
        <w:bidi w:val="0"/>
        <w:adjustRightInd w:val="0"/>
        <w:snapToGrid w:val="0"/>
        <w:spacing w:line="560" w:lineRule="exact"/>
        <w:ind w:firstLine="635" w:firstLineChars="200"/>
        <w:textAlignment w:val="auto"/>
        <w:rPr>
          <w:rFonts w:hint="eastAsia" w:ascii="楷体" w:hAnsi="楷体" w:eastAsia="楷体" w:cs="楷体"/>
          <w:b/>
          <w:bCs/>
          <w:color w:val="000000" w:themeColor="text1"/>
          <w:spacing w:val="-2"/>
          <w:sz w:val="32"/>
          <w:szCs w:val="32"/>
          <w:lang w:val="en-US" w:eastAsia="zh-CN"/>
        </w:rPr>
      </w:pPr>
      <w:r>
        <w:rPr>
          <w:rFonts w:hint="eastAsia" w:ascii="楷体" w:hAnsi="楷体" w:eastAsia="楷体" w:cs="楷体"/>
          <w:b/>
          <w:bCs/>
          <w:color w:val="000000" w:themeColor="text1"/>
          <w:spacing w:val="-2"/>
          <w:sz w:val="32"/>
          <w:szCs w:val="32"/>
          <w:lang w:val="en-US" w:eastAsia="zh-CN"/>
        </w:rPr>
        <w:t>（一）加强组织领导</w:t>
      </w:r>
    </w:p>
    <w:p>
      <w:pPr>
        <w:pageBreakBefore w:val="0"/>
        <w:widowControl w:val="0"/>
        <w:numPr>
          <w:ilvl w:val="0"/>
          <w:numId w:val="0"/>
        </w:numPr>
        <w:kinsoku/>
        <w:wordWrap/>
        <w:overflowPunct/>
        <w:topLinePunct w:val="0"/>
        <w:autoSpaceDE w:val="0"/>
        <w:autoSpaceDN w:val="0"/>
        <w:bidi w:val="0"/>
        <w:adjustRightInd w:val="0"/>
        <w:snapToGrid w:val="0"/>
        <w:spacing w:line="560" w:lineRule="exact"/>
        <w:ind w:firstLine="632" w:firstLineChars="200"/>
        <w:textAlignment w:val="auto"/>
        <w:rPr>
          <w:rFonts w:hint="default" w:ascii="楷体" w:hAnsi="楷体" w:eastAsia="楷体" w:cs="楷体"/>
          <w:b/>
          <w:bCs/>
          <w:color w:val="000000" w:themeColor="text1"/>
          <w:spacing w:val="-2"/>
          <w:sz w:val="32"/>
          <w:szCs w:val="32"/>
          <w:lang w:val="en-US" w:eastAsia="zh-CN"/>
        </w:rPr>
      </w:pPr>
      <w:r>
        <w:rPr>
          <w:rFonts w:hint="eastAsia" w:ascii="仿宋" w:hAnsi="仿宋" w:eastAsia="仿宋" w:cs="仿宋"/>
          <w:b w:val="0"/>
          <w:bCs w:val="0"/>
          <w:color w:val="000000" w:themeColor="text1"/>
          <w:spacing w:val="-2"/>
          <w:sz w:val="32"/>
          <w:szCs w:val="32"/>
          <w:lang w:val="en-US" w:eastAsia="zh-CN"/>
        </w:rPr>
        <w:t>加强对县域商业体系建设工作的组织领导，县域商业体系建设工作协调机制领导小组统筹推进项目建设，解决全市县域商业体系建设工作推进过程中遇到的重点难点问题。</w:t>
      </w:r>
    </w:p>
    <w:p>
      <w:pPr>
        <w:pageBreakBefore w:val="0"/>
        <w:widowControl w:val="0"/>
        <w:numPr>
          <w:ilvl w:val="0"/>
          <w:numId w:val="2"/>
        </w:numPr>
        <w:kinsoku/>
        <w:wordWrap/>
        <w:overflowPunct/>
        <w:topLinePunct w:val="0"/>
        <w:bidi w:val="0"/>
        <w:spacing w:line="560" w:lineRule="exact"/>
        <w:ind w:firstLine="643" w:firstLineChars="200"/>
        <w:textAlignment w:val="auto"/>
        <w:rPr>
          <w:rFonts w:hint="eastAsia" w:ascii="楷体_GB2312" w:eastAsia="楷体_GB2312"/>
          <w:b/>
          <w:color w:val="000000" w:themeColor="text1"/>
          <w:sz w:val="32"/>
          <w:szCs w:val="32"/>
        </w:rPr>
      </w:pPr>
      <w:r>
        <w:rPr>
          <w:rFonts w:hint="eastAsia" w:ascii="楷体_GB2312" w:eastAsia="楷体_GB2312"/>
          <w:b/>
          <w:color w:val="000000" w:themeColor="text1"/>
          <w:sz w:val="32"/>
          <w:szCs w:val="32"/>
          <w:lang w:val="en-US" w:eastAsia="zh-CN"/>
        </w:rPr>
        <w:t>加强</w:t>
      </w:r>
      <w:r>
        <w:rPr>
          <w:rFonts w:hint="eastAsia" w:ascii="楷体_GB2312" w:eastAsia="楷体_GB2312"/>
          <w:b/>
          <w:color w:val="000000" w:themeColor="text1"/>
          <w:sz w:val="32"/>
          <w:szCs w:val="32"/>
        </w:rPr>
        <w:t>资金管理</w:t>
      </w:r>
    </w:p>
    <w:p>
      <w:pPr>
        <w:pageBreakBefore w:val="0"/>
        <w:widowControl w:val="0"/>
        <w:numPr>
          <w:ilvl w:val="0"/>
          <w:numId w:val="0"/>
        </w:numPr>
        <w:kinsoku/>
        <w:wordWrap/>
        <w:overflowPunct/>
        <w:topLinePunct w:val="0"/>
        <w:bidi w:val="0"/>
        <w:spacing w:line="560" w:lineRule="exact"/>
        <w:ind w:firstLine="643" w:firstLineChars="200"/>
        <w:textAlignment w:val="auto"/>
        <w:rPr>
          <w:rFonts w:ascii="仿宋_GB2312" w:eastAsia="仿宋_GB2312"/>
          <w:color w:val="000000" w:themeColor="text1"/>
          <w:sz w:val="32"/>
          <w:szCs w:val="32"/>
        </w:rPr>
      </w:pPr>
      <w:r>
        <w:rPr>
          <w:rFonts w:hint="eastAsia" w:ascii="仿宋_GB2312" w:eastAsia="仿宋_GB2312"/>
          <w:b/>
          <w:color w:val="000000" w:themeColor="text1"/>
          <w:sz w:val="32"/>
          <w:szCs w:val="32"/>
        </w:rPr>
        <w:t>1、支持方向和内容：</w:t>
      </w:r>
      <w:r>
        <w:rPr>
          <w:rFonts w:hint="eastAsia" w:ascii="仿宋_GB2312" w:eastAsia="仿宋_GB2312"/>
          <w:color w:val="000000" w:themeColor="text1"/>
          <w:sz w:val="32"/>
          <w:szCs w:val="32"/>
        </w:rPr>
        <w:t>支持改造乡镇商贸中心，完善冷藏、陈列、打包、结算、食品加工等设施设备；支持改造县域物流配送中心和乡镇快递站点，完善仓储分拣、包装、装卸、运输、配送等设施；支持引导商贸、电商、快递、物流企业围绕农村产品上行，建设分拣、预冷、初加工配送等商业化处置设施；支持县域商业大数据项目。</w:t>
      </w:r>
    </w:p>
    <w:p>
      <w:pPr>
        <w:pageBreakBefore w:val="0"/>
        <w:widowControl w:val="0"/>
        <w:kinsoku/>
        <w:wordWrap/>
        <w:overflowPunct/>
        <w:topLinePunct w:val="0"/>
        <w:bidi w:val="0"/>
        <w:spacing w:line="560" w:lineRule="exact"/>
        <w:ind w:firstLine="643" w:firstLineChars="200"/>
        <w:textAlignment w:val="auto"/>
        <w:rPr>
          <w:rFonts w:hint="eastAsia" w:ascii="仿宋_GB2312" w:eastAsia="仿宋_GB2312"/>
          <w:color w:val="000000" w:themeColor="text1"/>
          <w:sz w:val="32"/>
          <w:szCs w:val="32"/>
          <w:lang w:eastAsia="zh-CN"/>
        </w:rPr>
      </w:pPr>
      <w:r>
        <w:rPr>
          <w:rFonts w:hint="eastAsia" w:ascii="仿宋_GB2312" w:eastAsia="仿宋_GB2312"/>
          <w:b/>
          <w:color w:val="000000" w:themeColor="text1"/>
          <w:sz w:val="32"/>
          <w:szCs w:val="32"/>
        </w:rPr>
        <w:t>2、资金补助标准和支持方式</w:t>
      </w:r>
      <w:r>
        <w:rPr>
          <w:rFonts w:hint="eastAsia" w:ascii="仿宋_GB2312" w:eastAsia="仿宋_GB2312"/>
          <w:b/>
          <w:color w:val="000000" w:themeColor="text1"/>
          <w:sz w:val="32"/>
          <w:szCs w:val="32"/>
          <w:lang w:eastAsia="zh-CN"/>
        </w:rPr>
        <w:t>：</w:t>
      </w:r>
      <w:bookmarkStart w:id="0" w:name="_GoBack"/>
      <w:bookmarkEnd w:id="0"/>
      <w:r>
        <w:rPr>
          <w:rFonts w:hint="eastAsia" w:ascii="仿宋_GB2312" w:eastAsia="仿宋_GB2312"/>
          <w:color w:val="000000" w:themeColor="text1"/>
          <w:sz w:val="32"/>
          <w:szCs w:val="32"/>
        </w:rPr>
        <w:t>乡镇商贸中心建设项目，每个中心补助不超过50万元，补助比例不超过50%。县域商业大数据项目补助金额不超过60万元；县级物流配送中心补助上限不超过191万元，补助比例不超过50%</w:t>
      </w:r>
      <w:r>
        <w:rPr>
          <w:rFonts w:hint="eastAsia" w:ascii="仿宋_GB2312" w:eastAsia="仿宋_GB2312"/>
          <w:color w:val="000000" w:themeColor="text1"/>
          <w:sz w:val="32"/>
          <w:szCs w:val="32"/>
          <w:lang w:eastAsia="zh-CN"/>
        </w:rPr>
        <w:t>。</w:t>
      </w:r>
    </w:p>
    <w:p>
      <w:pPr>
        <w:pageBreakBefore w:val="0"/>
        <w:widowControl w:val="0"/>
        <w:kinsoku/>
        <w:wordWrap/>
        <w:overflowPunct/>
        <w:topLinePunct w:val="0"/>
        <w:bidi w:val="0"/>
        <w:spacing w:line="560" w:lineRule="exact"/>
        <w:ind w:firstLine="643" w:firstLineChars="200"/>
        <w:textAlignment w:val="auto"/>
        <w:rPr>
          <w:rFonts w:ascii="楷体_GB2312" w:eastAsia="楷体_GB2312"/>
          <w:b/>
          <w:color w:val="000000" w:themeColor="text1"/>
          <w:sz w:val="32"/>
          <w:szCs w:val="32"/>
        </w:rPr>
      </w:pPr>
      <w:r>
        <w:rPr>
          <w:rFonts w:hint="eastAsia" w:ascii="楷体_GB2312" w:eastAsia="楷体_GB2312"/>
          <w:b/>
          <w:color w:val="000000" w:themeColor="text1"/>
          <w:sz w:val="32"/>
          <w:szCs w:val="32"/>
        </w:rPr>
        <w:t>（</w:t>
      </w:r>
      <w:r>
        <w:rPr>
          <w:rFonts w:hint="eastAsia" w:ascii="楷体_GB2312" w:eastAsia="楷体_GB2312"/>
          <w:b/>
          <w:color w:val="000000" w:themeColor="text1"/>
          <w:sz w:val="32"/>
          <w:szCs w:val="32"/>
          <w:lang w:val="en-US" w:eastAsia="zh-CN"/>
        </w:rPr>
        <w:t>三</w:t>
      </w:r>
      <w:r>
        <w:rPr>
          <w:rFonts w:hint="eastAsia" w:ascii="楷体_GB2312" w:eastAsia="楷体_GB2312"/>
          <w:b/>
          <w:color w:val="000000" w:themeColor="text1"/>
          <w:sz w:val="32"/>
          <w:szCs w:val="32"/>
        </w:rPr>
        <w:t>）</w:t>
      </w:r>
      <w:r>
        <w:rPr>
          <w:rFonts w:hint="eastAsia" w:ascii="楷体_GB2312" w:eastAsia="楷体_GB2312"/>
          <w:b/>
          <w:color w:val="000000" w:themeColor="text1"/>
          <w:sz w:val="32"/>
          <w:szCs w:val="32"/>
          <w:lang w:val="en-US" w:eastAsia="zh-CN"/>
        </w:rPr>
        <w:t>加强</w:t>
      </w:r>
      <w:r>
        <w:rPr>
          <w:rFonts w:hint="eastAsia" w:ascii="楷体_GB2312" w:eastAsia="楷体_GB2312"/>
          <w:b/>
          <w:color w:val="000000" w:themeColor="text1"/>
          <w:sz w:val="32"/>
          <w:szCs w:val="32"/>
        </w:rPr>
        <w:t>项目管理</w:t>
      </w:r>
    </w:p>
    <w:p>
      <w:pPr>
        <w:pageBreakBefore w:val="0"/>
        <w:widowControl w:val="0"/>
        <w:kinsoku/>
        <w:wordWrap/>
        <w:overflowPunct/>
        <w:topLinePunct w:val="0"/>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建立项目遴选、组织实施、资金拨付、监管考核工作机制，明确项目验收主体、要件、验收流程，加强资金监督管理，明确资产权属和管护主体责任，形成长效机制。引入审计、监理咨询等第三方机构规范决策过程，加强资金项目审核，在政府网站设立县域商业建设行动专栏，公示相关信息，明确凡是接受中央财政奖补资金的企业须按要求填报项目相关信息数据，主管部门须依法维护信息安全。</w:t>
      </w:r>
    </w:p>
    <w:p>
      <w:pPr>
        <w:pageBreakBefore w:val="0"/>
        <w:widowControl w:val="0"/>
        <w:kinsoku/>
        <w:wordWrap/>
        <w:overflowPunct/>
        <w:topLinePunct w:val="0"/>
        <w:bidi w:val="0"/>
        <w:spacing w:line="560" w:lineRule="exact"/>
        <w:textAlignment w:val="auto"/>
        <w:rPr>
          <w:color w:val="000000" w:themeColor="text1"/>
        </w:rPr>
      </w:pPr>
    </w:p>
    <w:p>
      <w:pPr>
        <w:pageBreakBefore w:val="0"/>
        <w:widowControl w:val="0"/>
        <w:kinsoku/>
        <w:wordWrap/>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附件：洮南市县域商业项目清单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C4582"/>
    <w:multiLevelType w:val="singleLevel"/>
    <w:tmpl w:val="281C4582"/>
    <w:lvl w:ilvl="0" w:tentative="0">
      <w:start w:val="5"/>
      <w:numFmt w:val="chineseCounting"/>
      <w:suff w:val="nothing"/>
      <w:lvlText w:val="%1、"/>
      <w:lvlJc w:val="left"/>
      <w:rPr>
        <w:rFonts w:hint="eastAsia"/>
      </w:rPr>
    </w:lvl>
  </w:abstractNum>
  <w:abstractNum w:abstractNumId="1">
    <w:nsid w:val="2D126D85"/>
    <w:multiLevelType w:val="singleLevel"/>
    <w:tmpl w:val="2D126D8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0MjIyNjdhYzBmNTJhOWQwY2E2NmZlYmU2MWVmYWUifQ=="/>
  </w:docVars>
  <w:rsids>
    <w:rsidRoot w:val="3D022A0C"/>
    <w:rsid w:val="000C284C"/>
    <w:rsid w:val="001610F0"/>
    <w:rsid w:val="00202E3D"/>
    <w:rsid w:val="003465C4"/>
    <w:rsid w:val="00463B6E"/>
    <w:rsid w:val="00497453"/>
    <w:rsid w:val="0050431C"/>
    <w:rsid w:val="005505CC"/>
    <w:rsid w:val="00556273"/>
    <w:rsid w:val="006032AC"/>
    <w:rsid w:val="006039FC"/>
    <w:rsid w:val="0066563C"/>
    <w:rsid w:val="006B39CD"/>
    <w:rsid w:val="006D7EFF"/>
    <w:rsid w:val="0072265F"/>
    <w:rsid w:val="007226BE"/>
    <w:rsid w:val="00753465"/>
    <w:rsid w:val="008072C5"/>
    <w:rsid w:val="00866268"/>
    <w:rsid w:val="008B11C5"/>
    <w:rsid w:val="008F310D"/>
    <w:rsid w:val="00914F30"/>
    <w:rsid w:val="00994B2B"/>
    <w:rsid w:val="00994D68"/>
    <w:rsid w:val="009B418A"/>
    <w:rsid w:val="00A6047D"/>
    <w:rsid w:val="00A6546B"/>
    <w:rsid w:val="00AA2AF7"/>
    <w:rsid w:val="00B3098A"/>
    <w:rsid w:val="00BA7588"/>
    <w:rsid w:val="00CA7751"/>
    <w:rsid w:val="00D13F87"/>
    <w:rsid w:val="00D86DA6"/>
    <w:rsid w:val="00DD7CED"/>
    <w:rsid w:val="00E038A4"/>
    <w:rsid w:val="00E4018F"/>
    <w:rsid w:val="00F2397C"/>
    <w:rsid w:val="00FF2CF6"/>
    <w:rsid w:val="00FF5EA9"/>
    <w:rsid w:val="23C60D0B"/>
    <w:rsid w:val="32BB2699"/>
    <w:rsid w:val="3D022A0C"/>
    <w:rsid w:val="4EFF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qFormat/>
    <w:uiPriority w:val="99"/>
    <w:pPr>
      <w:keepNext/>
      <w:keepLines/>
      <w:spacing w:before="260" w:after="260" w:line="415" w:lineRule="auto"/>
      <w:outlineLvl w:val="1"/>
    </w:pPr>
    <w:rPr>
      <w:rFonts w:ascii="Calibri" w:hAnsi="Calibri"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 w:type="character" w:customStyle="1" w:styleId="12">
    <w:name w:val="标题 2 Char"/>
    <w:basedOn w:val="8"/>
    <w:link w:val="2"/>
    <w:qFormat/>
    <w:uiPriority w:val="99"/>
    <w:rPr>
      <w:rFonts w:ascii="Calibri" w:hAnsi="Calibri" w:eastAsia="宋体" w:cs="Times New Roman"/>
      <w:b/>
      <w:bCs/>
      <w:kern w:val="2"/>
      <w:sz w:val="32"/>
      <w:szCs w:val="32"/>
    </w:rPr>
  </w:style>
  <w:style w:type="paragraph" w:customStyle="1" w:styleId="13">
    <w:name w:val="Other|2"/>
    <w:basedOn w:val="1"/>
    <w:qFormat/>
    <w:uiPriority w:val="0"/>
    <w:rPr>
      <w:rFonts w:ascii="宋体" w:hAnsi="宋体" w:eastAsia="宋体" w:cs="宋体"/>
      <w:sz w:val="22"/>
      <w:szCs w:val="22"/>
    </w:rPr>
  </w:style>
  <w:style w:type="paragraph" w:customStyle="1" w:styleId="14">
    <w:name w:val="Other|1"/>
    <w:basedOn w:val="1"/>
    <w:qFormat/>
    <w:uiPriority w:val="0"/>
    <w:pPr>
      <w:spacing w:line="448" w:lineRule="auto"/>
      <w:ind w:firstLine="400"/>
    </w:pPr>
    <w:rPr>
      <w:rFonts w:ascii="宋体" w:hAnsi="宋体" w:eastAsia="宋体" w:cs="宋体"/>
      <w:sz w:val="28"/>
      <w:szCs w:val="28"/>
    </w:rPr>
  </w:style>
  <w:style w:type="paragraph" w:customStyle="1" w:styleId="15">
    <w:name w:val="列出段落1"/>
    <w:basedOn w:val="1"/>
    <w:qFormat/>
    <w:uiPriority w:val="0"/>
    <w:pPr>
      <w:ind w:firstLine="420" w:firstLineChars="200"/>
    </w:pPr>
    <w:rPr>
      <w:rFonts w:ascii="Calibri" w:hAnsi="Calibri" w:eastAsia="宋体" w:cs="Times New Roman"/>
      <w:szCs w:val="21"/>
    </w:rPr>
  </w:style>
  <w:style w:type="character" w:customStyle="1" w:styleId="16">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1815</Words>
  <Characters>1849</Characters>
  <Lines>26</Lines>
  <Paragraphs>7</Paragraphs>
  <TotalTime>3</TotalTime>
  <ScaleCrop>false</ScaleCrop>
  <LinksUpToDate>false</LinksUpToDate>
  <CharactersWithSpaces>1853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2022-10-17T06:59:00Z</dcterms:created>
  <dc:creator>꧁꫞꯭大媛꯭꫞꧂</dc:creator>
  <cp:lastModifiedBy>꧁꫞꯭大媛꯭꫞꧂</cp:lastModifiedBy>
  <cp:lastPrinted>2022-09-29T09:30:00Z</cp:lastPrinted>
  <dcterms:modified xsi:type="dcterms:W3CDTF">2022-11-14T02:39:59Z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B740F015217A4B72814476B77CB9E06A</vt:lpwstr>
  </property>
</Properties>
</file>